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DE36D9" w14:textId="682AC5C0" w:rsidR="004244DD" w:rsidRPr="00FA57AF" w:rsidRDefault="004244DD" w:rsidP="00AB36AB">
      <w:pPr>
        <w:spacing w:line="360" w:lineRule="auto"/>
        <w:rPr>
          <w:rFonts w:ascii="Arial" w:hAnsi="Arial" w:cs="Arial"/>
          <w:b/>
          <w:caps/>
          <w:u w:val="single"/>
        </w:rPr>
      </w:pPr>
      <w:bookmarkStart w:id="0" w:name="_GoBack"/>
      <w:bookmarkEnd w:id="0"/>
      <w:r w:rsidRPr="00FA57AF">
        <w:rPr>
          <w:rFonts w:ascii="Arial" w:hAnsi="Arial" w:cs="Arial"/>
          <w:b/>
          <w:caps/>
          <w:u w:val="single"/>
        </w:rPr>
        <w:t xml:space="preserve">The rights of minority shareholders </w:t>
      </w:r>
      <w:r w:rsidR="002050E6">
        <w:rPr>
          <w:rFonts w:ascii="Arial" w:hAnsi="Arial" w:cs="Arial"/>
          <w:b/>
          <w:caps/>
          <w:u w:val="single"/>
        </w:rPr>
        <w:t>– what every shareholder needs to know</w:t>
      </w:r>
    </w:p>
    <w:p w14:paraId="16DE36DA" w14:textId="77777777" w:rsidR="004244DD" w:rsidRDefault="004244DD" w:rsidP="004244DD">
      <w:pPr>
        <w:spacing w:line="360" w:lineRule="auto"/>
        <w:jc w:val="both"/>
        <w:rPr>
          <w:rFonts w:ascii="Arial" w:hAnsi="Arial" w:cs="Arial"/>
          <w:b/>
        </w:rPr>
      </w:pPr>
    </w:p>
    <w:p w14:paraId="16DE36DB" w14:textId="77777777" w:rsidR="004244DD" w:rsidRDefault="004244DD" w:rsidP="004244DD">
      <w:pPr>
        <w:spacing w:line="360" w:lineRule="auto"/>
        <w:jc w:val="both"/>
        <w:rPr>
          <w:rFonts w:ascii="Arial" w:hAnsi="Arial" w:cs="Arial"/>
          <w:b/>
          <w:i/>
        </w:rPr>
      </w:pPr>
      <w:r w:rsidRPr="004D44D0">
        <w:rPr>
          <w:rFonts w:ascii="Arial" w:hAnsi="Arial" w:cs="Arial"/>
          <w:b/>
          <w:i/>
        </w:rPr>
        <w:t>Introduction</w:t>
      </w:r>
    </w:p>
    <w:p w14:paraId="16DE36DC" w14:textId="77777777" w:rsidR="004D44D0" w:rsidRPr="004D44D0" w:rsidRDefault="004D44D0" w:rsidP="004244DD">
      <w:pPr>
        <w:spacing w:line="360" w:lineRule="auto"/>
        <w:jc w:val="both"/>
        <w:rPr>
          <w:rFonts w:ascii="Arial" w:hAnsi="Arial" w:cs="Arial"/>
          <w:b/>
          <w:i/>
        </w:rPr>
      </w:pPr>
    </w:p>
    <w:p w14:paraId="16DE36DD" w14:textId="77777777" w:rsidR="004244DD" w:rsidRDefault="004D44D0" w:rsidP="004244DD">
      <w:pPr>
        <w:spacing w:line="360" w:lineRule="auto"/>
        <w:jc w:val="both"/>
        <w:rPr>
          <w:rFonts w:ascii="Arial" w:hAnsi="Arial" w:cs="Arial"/>
          <w:b/>
        </w:rPr>
      </w:pPr>
      <w:r>
        <w:rPr>
          <w:rFonts w:ascii="Arial" w:hAnsi="Arial" w:cs="Arial"/>
        </w:rPr>
        <w:t xml:space="preserve">The broad concept of a company </w:t>
      </w:r>
      <w:r w:rsidR="002823EA">
        <w:rPr>
          <w:rFonts w:ascii="Arial" w:hAnsi="Arial" w:cs="Arial"/>
        </w:rPr>
        <w:t xml:space="preserve">and business law </w:t>
      </w:r>
      <w:r>
        <w:rPr>
          <w:rFonts w:ascii="Arial" w:hAnsi="Arial" w:cs="Arial"/>
        </w:rPr>
        <w:t>by its nature is that its affairs are managed by a board of directors and that shareholders are bound by resolutions approved by the majority of them. The pro</w:t>
      </w:r>
      <w:r w:rsidR="00FA57AF">
        <w:rPr>
          <w:rFonts w:ascii="Arial" w:hAnsi="Arial" w:cs="Arial"/>
        </w:rPr>
        <w:t xml:space="preserve">blem however arises when </w:t>
      </w:r>
      <w:r w:rsidR="007D6EA6">
        <w:rPr>
          <w:rFonts w:ascii="Arial" w:hAnsi="Arial" w:cs="Arial"/>
        </w:rPr>
        <w:t xml:space="preserve">minority shareholders disagree or are prejudiced by the majority rule. Even where they wish to exit, they often find that their shareholding is unmarketable. The </w:t>
      </w:r>
      <w:r w:rsidR="00266A49">
        <w:rPr>
          <w:rFonts w:ascii="Arial" w:hAnsi="Arial" w:cs="Arial"/>
        </w:rPr>
        <w:t xml:space="preserve">Companies </w:t>
      </w:r>
      <w:r w:rsidR="007D6EA6">
        <w:rPr>
          <w:rFonts w:ascii="Arial" w:hAnsi="Arial" w:cs="Arial"/>
        </w:rPr>
        <w:t>Act</w:t>
      </w:r>
      <w:r w:rsidR="007824BF">
        <w:rPr>
          <w:rStyle w:val="FootnoteReference"/>
          <w:rFonts w:ascii="Arial" w:hAnsi="Arial" w:cs="Arial"/>
        </w:rPr>
        <w:footnoteReference w:id="1"/>
      </w:r>
      <w:r w:rsidR="007D6EA6">
        <w:rPr>
          <w:rFonts w:ascii="Arial" w:hAnsi="Arial" w:cs="Arial"/>
        </w:rPr>
        <w:t xml:space="preserve"> has introduced a number of remedies that may alleviate this.</w:t>
      </w:r>
    </w:p>
    <w:p w14:paraId="16DE36DE" w14:textId="77777777" w:rsidR="004D44D0" w:rsidRDefault="004D44D0" w:rsidP="004244DD">
      <w:pPr>
        <w:spacing w:line="360" w:lineRule="auto"/>
        <w:jc w:val="both"/>
        <w:rPr>
          <w:rFonts w:ascii="Arial" w:hAnsi="Arial" w:cs="Arial"/>
          <w:b/>
        </w:rPr>
      </w:pPr>
    </w:p>
    <w:p w14:paraId="16DE36DF" w14:textId="77777777" w:rsidR="004244DD" w:rsidRPr="004D44D0" w:rsidRDefault="007D6EA6" w:rsidP="004244DD">
      <w:pPr>
        <w:spacing w:line="360" w:lineRule="auto"/>
        <w:jc w:val="both"/>
        <w:rPr>
          <w:rFonts w:ascii="Arial" w:hAnsi="Arial" w:cs="Arial"/>
          <w:b/>
          <w:i/>
        </w:rPr>
      </w:pPr>
      <w:r>
        <w:rPr>
          <w:rFonts w:ascii="Arial" w:hAnsi="Arial" w:cs="Arial"/>
          <w:b/>
          <w:i/>
        </w:rPr>
        <w:t xml:space="preserve">The provisions </w:t>
      </w:r>
      <w:r w:rsidR="000E4DC7">
        <w:rPr>
          <w:rFonts w:ascii="Arial" w:hAnsi="Arial" w:cs="Arial"/>
          <w:b/>
          <w:i/>
        </w:rPr>
        <w:t xml:space="preserve">contained in </w:t>
      </w:r>
      <w:r>
        <w:rPr>
          <w:rFonts w:ascii="Arial" w:hAnsi="Arial" w:cs="Arial"/>
          <w:b/>
          <w:i/>
        </w:rPr>
        <w:t>the Companies Act</w:t>
      </w:r>
    </w:p>
    <w:p w14:paraId="16DE36E0" w14:textId="77777777" w:rsidR="004244DD" w:rsidRDefault="004244DD" w:rsidP="004244DD">
      <w:pPr>
        <w:spacing w:line="360" w:lineRule="auto"/>
        <w:jc w:val="both"/>
        <w:rPr>
          <w:rFonts w:ascii="Arial" w:hAnsi="Arial" w:cs="Arial"/>
          <w:b/>
        </w:rPr>
      </w:pPr>
    </w:p>
    <w:p w14:paraId="16DE36E1" w14:textId="77777777" w:rsidR="004244DD" w:rsidRDefault="004244DD" w:rsidP="004244DD">
      <w:pPr>
        <w:spacing w:line="360" w:lineRule="auto"/>
        <w:jc w:val="both"/>
        <w:rPr>
          <w:rFonts w:ascii="Arial" w:hAnsi="Arial" w:cs="Arial"/>
        </w:rPr>
      </w:pPr>
      <w:r w:rsidRPr="000F42F3">
        <w:rPr>
          <w:rFonts w:ascii="Arial" w:hAnsi="Arial" w:cs="Arial"/>
          <w:b/>
        </w:rPr>
        <w:t>Section 161</w:t>
      </w:r>
      <w:r w:rsidRPr="000F42F3">
        <w:rPr>
          <w:rFonts w:ascii="Arial" w:hAnsi="Arial" w:cs="Arial"/>
        </w:rPr>
        <w:t xml:space="preserve"> </w:t>
      </w:r>
      <w:r w:rsidR="00881EDF">
        <w:rPr>
          <w:rFonts w:ascii="Arial" w:hAnsi="Arial" w:cs="Arial"/>
        </w:rPr>
        <w:t xml:space="preserve">allows </w:t>
      </w:r>
      <w:r w:rsidRPr="000F42F3">
        <w:rPr>
          <w:rFonts w:ascii="Arial" w:hAnsi="Arial" w:cs="Arial"/>
        </w:rPr>
        <w:t>a holder of issued securities</w:t>
      </w:r>
      <w:r w:rsidR="00881EDF">
        <w:rPr>
          <w:rFonts w:ascii="Arial" w:hAnsi="Arial" w:cs="Arial"/>
        </w:rPr>
        <w:t xml:space="preserve"> (loosely, </w:t>
      </w:r>
      <w:r w:rsidR="007824BF">
        <w:rPr>
          <w:rFonts w:ascii="Arial" w:hAnsi="Arial" w:cs="Arial"/>
        </w:rPr>
        <w:t>“</w:t>
      </w:r>
      <w:r w:rsidR="00881EDF">
        <w:rPr>
          <w:rFonts w:ascii="Arial" w:hAnsi="Arial" w:cs="Arial"/>
        </w:rPr>
        <w:t>the shareholder”)</w:t>
      </w:r>
      <w:r w:rsidRPr="000F42F3">
        <w:rPr>
          <w:rFonts w:ascii="Arial" w:hAnsi="Arial" w:cs="Arial"/>
        </w:rPr>
        <w:t xml:space="preserve"> to apply to court for an order determining any of his or her rights in terms of the Act (declaratory order), the </w:t>
      </w:r>
      <w:r w:rsidR="00881EDF">
        <w:rPr>
          <w:rFonts w:ascii="Arial" w:hAnsi="Arial" w:cs="Arial"/>
        </w:rPr>
        <w:t>Memorandum of Incorporation (“</w:t>
      </w:r>
      <w:r w:rsidRPr="000F42F3">
        <w:rPr>
          <w:rFonts w:ascii="Arial" w:hAnsi="Arial" w:cs="Arial"/>
        </w:rPr>
        <w:t>MOI</w:t>
      </w:r>
      <w:r w:rsidR="00881EDF">
        <w:rPr>
          <w:rFonts w:ascii="Arial" w:hAnsi="Arial" w:cs="Arial"/>
        </w:rPr>
        <w:t>”)</w:t>
      </w:r>
      <w:r w:rsidRPr="000F42F3">
        <w:rPr>
          <w:rFonts w:ascii="Arial" w:hAnsi="Arial" w:cs="Arial"/>
        </w:rPr>
        <w:t xml:space="preserve"> any rules </w:t>
      </w:r>
      <w:r w:rsidR="00881EDF">
        <w:rPr>
          <w:rFonts w:ascii="Arial" w:hAnsi="Arial" w:cs="Arial"/>
        </w:rPr>
        <w:t xml:space="preserve">of the company </w:t>
      </w:r>
      <w:r w:rsidRPr="000F42F3">
        <w:rPr>
          <w:rFonts w:ascii="Arial" w:hAnsi="Arial" w:cs="Arial"/>
        </w:rPr>
        <w:t xml:space="preserve">or any applicable debt instrument. </w:t>
      </w:r>
      <w:r w:rsidR="00881EDF">
        <w:rPr>
          <w:rFonts w:ascii="Arial" w:hAnsi="Arial" w:cs="Arial"/>
        </w:rPr>
        <w:t xml:space="preserve">The Shareholder may also apply to court </w:t>
      </w:r>
      <w:r w:rsidRPr="000F42F3">
        <w:rPr>
          <w:rFonts w:ascii="Arial" w:hAnsi="Arial" w:cs="Arial"/>
        </w:rPr>
        <w:t xml:space="preserve">in order to protect any </w:t>
      </w:r>
      <w:r w:rsidR="00881EDF">
        <w:rPr>
          <w:rFonts w:ascii="Arial" w:hAnsi="Arial" w:cs="Arial"/>
        </w:rPr>
        <w:t xml:space="preserve">of his or her other </w:t>
      </w:r>
      <w:r w:rsidRPr="000F42F3">
        <w:rPr>
          <w:rFonts w:ascii="Arial" w:hAnsi="Arial" w:cs="Arial"/>
        </w:rPr>
        <w:t>rights, which presumably may include an interdict</w:t>
      </w:r>
      <w:r w:rsidR="00881EDF">
        <w:rPr>
          <w:rFonts w:ascii="Arial" w:hAnsi="Arial" w:cs="Arial"/>
        </w:rPr>
        <w:t>. In that</w:t>
      </w:r>
      <w:r w:rsidRPr="000F42F3">
        <w:rPr>
          <w:rFonts w:ascii="Arial" w:hAnsi="Arial" w:cs="Arial"/>
        </w:rPr>
        <w:t xml:space="preserve"> application </w:t>
      </w:r>
      <w:r w:rsidR="00881EDF">
        <w:rPr>
          <w:rFonts w:ascii="Arial" w:hAnsi="Arial" w:cs="Arial"/>
        </w:rPr>
        <w:t xml:space="preserve">the Shareholder may also seek </w:t>
      </w:r>
      <w:proofErr w:type="gramStart"/>
      <w:r w:rsidR="00881EDF">
        <w:rPr>
          <w:rFonts w:ascii="Arial" w:hAnsi="Arial" w:cs="Arial"/>
        </w:rPr>
        <w:t xml:space="preserve">an </w:t>
      </w:r>
      <w:r w:rsidRPr="000F42F3">
        <w:rPr>
          <w:rFonts w:ascii="Arial" w:hAnsi="Arial" w:cs="Arial"/>
        </w:rPr>
        <w:t xml:space="preserve"> order</w:t>
      </w:r>
      <w:proofErr w:type="gramEnd"/>
      <w:r w:rsidRPr="000F42F3">
        <w:rPr>
          <w:rFonts w:ascii="Arial" w:hAnsi="Arial" w:cs="Arial"/>
        </w:rPr>
        <w:t xml:space="preserve"> to remedy any harm done to him or her</w:t>
      </w:r>
      <w:r w:rsidR="007824BF">
        <w:rPr>
          <w:rFonts w:ascii="Arial" w:hAnsi="Arial" w:cs="Arial"/>
        </w:rPr>
        <w:t xml:space="preserve"> </w:t>
      </w:r>
      <w:r w:rsidRPr="000F42F3">
        <w:rPr>
          <w:rFonts w:ascii="Arial" w:hAnsi="Arial" w:cs="Arial"/>
        </w:rPr>
        <w:t>on the basis of the breach of any provision or violation of an</w:t>
      </w:r>
      <w:r>
        <w:rPr>
          <w:rFonts w:ascii="Arial" w:hAnsi="Arial" w:cs="Arial"/>
        </w:rPr>
        <w:t>y right as enshrined in the</w:t>
      </w:r>
      <w:r w:rsidRPr="000F42F3">
        <w:rPr>
          <w:rFonts w:ascii="Arial" w:hAnsi="Arial" w:cs="Arial"/>
        </w:rPr>
        <w:t xml:space="preserve"> MOI or rules or applicable debt instrument. Alternatively</w:t>
      </w:r>
      <w:r w:rsidR="00881EDF">
        <w:rPr>
          <w:rFonts w:ascii="Arial" w:hAnsi="Arial" w:cs="Arial"/>
        </w:rPr>
        <w:t xml:space="preserve">, the Shareholder may bring such an application to rectify any harm done to him or her by any of the company’s directors, to the extent that they </w:t>
      </w:r>
      <w:r w:rsidR="00581FAC">
        <w:rPr>
          <w:rFonts w:ascii="Arial" w:hAnsi="Arial" w:cs="Arial"/>
        </w:rPr>
        <w:t xml:space="preserve">may have breached any of their fiduciary duties. </w:t>
      </w:r>
      <w:r w:rsidRPr="000F42F3">
        <w:rPr>
          <w:rFonts w:ascii="Arial" w:hAnsi="Arial" w:cs="Arial"/>
        </w:rPr>
        <w:t xml:space="preserve"> </w:t>
      </w:r>
      <w:r w:rsidR="007D6EA6">
        <w:rPr>
          <w:rStyle w:val="FootnoteReference"/>
          <w:rFonts w:ascii="Arial" w:hAnsi="Arial" w:cs="Arial"/>
        </w:rPr>
        <w:footnoteReference w:id="2"/>
      </w:r>
    </w:p>
    <w:p w14:paraId="16DE36E2" w14:textId="77777777" w:rsidR="004244DD" w:rsidRPr="000F42F3" w:rsidRDefault="004244DD" w:rsidP="004244DD">
      <w:pPr>
        <w:spacing w:line="360" w:lineRule="auto"/>
        <w:jc w:val="both"/>
        <w:rPr>
          <w:rFonts w:ascii="Arial" w:hAnsi="Arial" w:cs="Arial"/>
        </w:rPr>
      </w:pPr>
    </w:p>
    <w:p w14:paraId="16DE36E3" w14:textId="77777777" w:rsidR="004244DD" w:rsidRDefault="004244DD" w:rsidP="004244DD">
      <w:pPr>
        <w:spacing w:line="360" w:lineRule="auto"/>
        <w:jc w:val="both"/>
        <w:rPr>
          <w:rFonts w:ascii="Arial" w:hAnsi="Arial" w:cs="Arial"/>
        </w:rPr>
      </w:pPr>
      <w:r w:rsidRPr="000F42F3">
        <w:rPr>
          <w:rFonts w:ascii="Arial" w:hAnsi="Arial" w:cs="Arial"/>
        </w:rPr>
        <w:t xml:space="preserve">The </w:t>
      </w:r>
      <w:r w:rsidR="00581FAC">
        <w:rPr>
          <w:rFonts w:ascii="Arial" w:hAnsi="Arial" w:cs="Arial"/>
        </w:rPr>
        <w:t>problem with</w:t>
      </w:r>
      <w:r w:rsidRPr="000F42F3">
        <w:rPr>
          <w:rFonts w:ascii="Arial" w:hAnsi="Arial" w:cs="Arial"/>
        </w:rPr>
        <w:t xml:space="preserve"> this newly introduced remedy </w:t>
      </w:r>
      <w:r w:rsidR="00266A49">
        <w:rPr>
          <w:rFonts w:ascii="Arial" w:hAnsi="Arial" w:cs="Arial"/>
        </w:rPr>
        <w:t xml:space="preserve">is </w:t>
      </w:r>
      <w:r w:rsidRPr="000F42F3">
        <w:rPr>
          <w:rFonts w:ascii="Arial" w:hAnsi="Arial" w:cs="Arial"/>
        </w:rPr>
        <w:t xml:space="preserve">that </w:t>
      </w:r>
      <w:r w:rsidR="00581FAC">
        <w:rPr>
          <w:rFonts w:ascii="Arial" w:hAnsi="Arial" w:cs="Arial"/>
        </w:rPr>
        <w:t>“</w:t>
      </w:r>
      <w:r w:rsidRPr="000F42F3">
        <w:rPr>
          <w:rFonts w:ascii="Arial" w:hAnsi="Arial" w:cs="Arial"/>
        </w:rPr>
        <w:t>rights</w:t>
      </w:r>
      <w:r w:rsidR="00581FAC">
        <w:rPr>
          <w:rFonts w:ascii="Arial" w:hAnsi="Arial" w:cs="Arial"/>
        </w:rPr>
        <w:t>”</w:t>
      </w:r>
      <w:r w:rsidRPr="000F42F3">
        <w:rPr>
          <w:rFonts w:ascii="Arial" w:hAnsi="Arial" w:cs="Arial"/>
        </w:rPr>
        <w:t xml:space="preserve"> are not very clearly defined </w:t>
      </w:r>
      <w:r w:rsidR="00581FAC">
        <w:rPr>
          <w:rFonts w:ascii="Arial" w:hAnsi="Arial" w:cs="Arial"/>
        </w:rPr>
        <w:t xml:space="preserve">– not clear whether they are to </w:t>
      </w:r>
      <w:proofErr w:type="gramStart"/>
      <w:r w:rsidR="00581FAC">
        <w:rPr>
          <w:rFonts w:ascii="Arial" w:hAnsi="Arial" w:cs="Arial"/>
        </w:rPr>
        <w:t xml:space="preserve">be </w:t>
      </w:r>
      <w:r w:rsidRPr="000F42F3">
        <w:rPr>
          <w:rFonts w:ascii="Arial" w:hAnsi="Arial" w:cs="Arial"/>
        </w:rPr>
        <w:t xml:space="preserve"> narrowly</w:t>
      </w:r>
      <w:proofErr w:type="gramEnd"/>
      <w:r w:rsidRPr="000F42F3">
        <w:rPr>
          <w:rFonts w:ascii="Arial" w:hAnsi="Arial" w:cs="Arial"/>
        </w:rPr>
        <w:t xml:space="preserve"> interpreted or widely</w:t>
      </w:r>
      <w:r w:rsidR="00581FAC">
        <w:rPr>
          <w:rFonts w:ascii="Arial" w:hAnsi="Arial" w:cs="Arial"/>
        </w:rPr>
        <w:t xml:space="preserve"> interpreted</w:t>
      </w:r>
      <w:r w:rsidRPr="000F42F3">
        <w:rPr>
          <w:rFonts w:ascii="Arial" w:hAnsi="Arial" w:cs="Arial"/>
        </w:rPr>
        <w:t>.</w:t>
      </w:r>
      <w:r w:rsidR="000E4DC7">
        <w:rPr>
          <w:rStyle w:val="FootnoteReference"/>
          <w:rFonts w:ascii="Arial" w:hAnsi="Arial" w:cs="Arial"/>
        </w:rPr>
        <w:footnoteReference w:id="3"/>
      </w:r>
      <w:r w:rsidRPr="000F42F3">
        <w:rPr>
          <w:rFonts w:ascii="Arial" w:hAnsi="Arial" w:cs="Arial"/>
        </w:rPr>
        <w:t xml:space="preserve"> Thus, the basic problem with this remedy is that rights (to determine or protect or the basis for claiming for harm suffered) may be restricted to that as contained in the MOI or rules only</w:t>
      </w:r>
      <w:r w:rsidR="00581FAC">
        <w:rPr>
          <w:rFonts w:ascii="Arial" w:hAnsi="Arial" w:cs="Arial"/>
        </w:rPr>
        <w:t>,</w:t>
      </w:r>
      <w:r>
        <w:rPr>
          <w:rFonts w:ascii="Arial" w:hAnsi="Arial" w:cs="Arial"/>
        </w:rPr>
        <w:t xml:space="preserve"> or </w:t>
      </w:r>
      <w:r w:rsidR="00581FAC">
        <w:rPr>
          <w:rFonts w:ascii="Arial" w:hAnsi="Arial" w:cs="Arial"/>
        </w:rPr>
        <w:t xml:space="preserve">the definition may also include </w:t>
      </w:r>
      <w:r>
        <w:rPr>
          <w:rFonts w:ascii="Arial" w:hAnsi="Arial" w:cs="Arial"/>
        </w:rPr>
        <w:t>personal rights</w:t>
      </w:r>
      <w:r w:rsidRPr="000F42F3">
        <w:rPr>
          <w:rFonts w:ascii="Arial" w:hAnsi="Arial" w:cs="Arial"/>
        </w:rPr>
        <w:t>.</w:t>
      </w:r>
      <w:r w:rsidR="000E4DC7">
        <w:rPr>
          <w:rStyle w:val="FootnoteReference"/>
          <w:rFonts w:ascii="Arial" w:hAnsi="Arial" w:cs="Arial"/>
        </w:rPr>
        <w:footnoteReference w:id="4"/>
      </w:r>
      <w:r w:rsidRPr="000F42F3">
        <w:rPr>
          <w:rFonts w:ascii="Arial" w:hAnsi="Arial" w:cs="Arial"/>
        </w:rPr>
        <w:t xml:space="preserve"> </w:t>
      </w:r>
    </w:p>
    <w:p w14:paraId="16DE36E4" w14:textId="77777777" w:rsidR="004244DD" w:rsidRPr="000F42F3" w:rsidRDefault="004244DD" w:rsidP="004244DD">
      <w:pPr>
        <w:spacing w:line="360" w:lineRule="auto"/>
        <w:jc w:val="both"/>
        <w:rPr>
          <w:rFonts w:ascii="Arial" w:hAnsi="Arial" w:cs="Arial"/>
        </w:rPr>
      </w:pPr>
    </w:p>
    <w:p w14:paraId="16DE36E5" w14:textId="77777777" w:rsidR="004244DD" w:rsidRPr="000F42F3" w:rsidRDefault="004244DD" w:rsidP="004244DD">
      <w:pPr>
        <w:spacing w:line="360" w:lineRule="auto"/>
        <w:jc w:val="both"/>
        <w:rPr>
          <w:rFonts w:ascii="Arial" w:hAnsi="Arial" w:cs="Arial"/>
        </w:rPr>
      </w:pPr>
      <w:r w:rsidRPr="000F42F3">
        <w:rPr>
          <w:rFonts w:ascii="Arial" w:hAnsi="Arial" w:cs="Arial"/>
          <w:b/>
        </w:rPr>
        <w:t>Section 163</w:t>
      </w:r>
      <w:r w:rsidRPr="000F42F3">
        <w:rPr>
          <w:rFonts w:ascii="Arial" w:hAnsi="Arial" w:cs="Arial"/>
        </w:rPr>
        <w:t xml:space="preserve"> of the Act provides for a court action remedy against oppressive or prejudicial conduct.</w:t>
      </w:r>
      <w:r w:rsidR="000E4DC7">
        <w:rPr>
          <w:rFonts w:ascii="Arial" w:hAnsi="Arial" w:cs="Arial"/>
        </w:rPr>
        <w:t xml:space="preserve"> This is a new addition to our corporate law regime.</w:t>
      </w:r>
    </w:p>
    <w:p w14:paraId="16DE36E6" w14:textId="77777777" w:rsidR="004244DD" w:rsidRDefault="004244DD" w:rsidP="004244DD">
      <w:pPr>
        <w:spacing w:line="360" w:lineRule="auto"/>
        <w:jc w:val="both"/>
        <w:rPr>
          <w:rFonts w:ascii="Arial" w:hAnsi="Arial" w:cs="Arial"/>
        </w:rPr>
      </w:pPr>
    </w:p>
    <w:p w14:paraId="16DE36E7" w14:textId="77777777" w:rsidR="004244DD" w:rsidRDefault="004244DD" w:rsidP="004244DD">
      <w:pPr>
        <w:spacing w:line="360" w:lineRule="auto"/>
        <w:jc w:val="both"/>
        <w:rPr>
          <w:rFonts w:ascii="Arial" w:hAnsi="Arial" w:cs="Arial"/>
        </w:rPr>
      </w:pPr>
      <w:r w:rsidRPr="000F42F3">
        <w:rPr>
          <w:rFonts w:ascii="Arial" w:hAnsi="Arial" w:cs="Arial"/>
        </w:rPr>
        <w:t xml:space="preserve">Section 163 determines that a </w:t>
      </w:r>
      <w:r w:rsidR="001E5679">
        <w:rPr>
          <w:rFonts w:ascii="Arial" w:hAnsi="Arial" w:cs="Arial"/>
        </w:rPr>
        <w:t>S</w:t>
      </w:r>
      <w:r w:rsidRPr="000F42F3">
        <w:rPr>
          <w:rFonts w:ascii="Arial" w:hAnsi="Arial" w:cs="Arial"/>
        </w:rPr>
        <w:t>hareholder or director may apply to court for relief if:</w:t>
      </w:r>
    </w:p>
    <w:p w14:paraId="16DE36E8" w14:textId="77777777" w:rsidR="004244DD" w:rsidRPr="000F42F3" w:rsidRDefault="004244DD" w:rsidP="004244DD">
      <w:pPr>
        <w:spacing w:line="360" w:lineRule="auto"/>
        <w:jc w:val="both"/>
        <w:rPr>
          <w:rFonts w:ascii="Arial" w:hAnsi="Arial" w:cs="Arial"/>
        </w:rPr>
      </w:pPr>
    </w:p>
    <w:p w14:paraId="16DE36E9" w14:textId="77777777" w:rsidR="004244DD" w:rsidRPr="000F42F3" w:rsidRDefault="004244DD" w:rsidP="004244DD">
      <w:pPr>
        <w:pStyle w:val="ListParagraph"/>
        <w:numPr>
          <w:ilvl w:val="0"/>
          <w:numId w:val="1"/>
        </w:numPr>
        <w:spacing w:line="360" w:lineRule="auto"/>
        <w:jc w:val="both"/>
        <w:rPr>
          <w:rFonts w:ascii="Arial" w:hAnsi="Arial" w:cs="Arial"/>
          <w:sz w:val="24"/>
          <w:szCs w:val="24"/>
        </w:rPr>
      </w:pPr>
      <w:r w:rsidRPr="000F42F3">
        <w:rPr>
          <w:rFonts w:ascii="Arial" w:hAnsi="Arial" w:cs="Arial"/>
          <w:sz w:val="24"/>
          <w:szCs w:val="24"/>
        </w:rPr>
        <w:t xml:space="preserve">any act or omission of the company or a related person has had a result that is oppressive or unfairly prejudicial to or has unfairly disregarded the interests of the applicant;  </w:t>
      </w:r>
    </w:p>
    <w:p w14:paraId="16DE36EA" w14:textId="77777777" w:rsidR="004244DD" w:rsidRPr="000F42F3" w:rsidRDefault="004244DD" w:rsidP="004244DD">
      <w:pPr>
        <w:pStyle w:val="ListParagraph"/>
        <w:numPr>
          <w:ilvl w:val="0"/>
          <w:numId w:val="1"/>
        </w:numPr>
        <w:spacing w:line="360" w:lineRule="auto"/>
        <w:jc w:val="both"/>
        <w:rPr>
          <w:rFonts w:ascii="Arial" w:hAnsi="Arial" w:cs="Arial"/>
          <w:sz w:val="24"/>
          <w:szCs w:val="24"/>
        </w:rPr>
      </w:pPr>
      <w:r w:rsidRPr="000F42F3">
        <w:rPr>
          <w:rFonts w:ascii="Arial" w:hAnsi="Arial" w:cs="Arial"/>
          <w:sz w:val="24"/>
          <w:szCs w:val="24"/>
        </w:rPr>
        <w:t xml:space="preserve">the business of the company or a related person is being or has been carried on or conducted in </w:t>
      </w:r>
      <w:r w:rsidR="001620AA">
        <w:rPr>
          <w:rFonts w:ascii="Arial" w:hAnsi="Arial" w:cs="Arial"/>
          <w:sz w:val="24"/>
          <w:szCs w:val="24"/>
        </w:rPr>
        <w:t>a manner</w:t>
      </w:r>
      <w:r w:rsidRPr="000F42F3">
        <w:rPr>
          <w:rFonts w:ascii="Arial" w:hAnsi="Arial" w:cs="Arial"/>
          <w:sz w:val="24"/>
          <w:szCs w:val="24"/>
        </w:rPr>
        <w:t xml:space="preserve"> that is oppressive or unfairly prejudicial to or that disregards the interests of the applicant;</w:t>
      </w:r>
      <w:r>
        <w:rPr>
          <w:rFonts w:ascii="Arial" w:hAnsi="Arial" w:cs="Arial"/>
          <w:sz w:val="24"/>
          <w:szCs w:val="24"/>
        </w:rPr>
        <w:t xml:space="preserve"> or</w:t>
      </w:r>
    </w:p>
    <w:p w14:paraId="16DE36EB" w14:textId="77777777" w:rsidR="004244DD" w:rsidRDefault="004244DD" w:rsidP="004244DD">
      <w:pPr>
        <w:pStyle w:val="ListParagraph"/>
        <w:numPr>
          <w:ilvl w:val="0"/>
          <w:numId w:val="1"/>
        </w:numPr>
        <w:spacing w:line="360" w:lineRule="auto"/>
        <w:jc w:val="both"/>
        <w:rPr>
          <w:rFonts w:ascii="Arial" w:hAnsi="Arial" w:cs="Arial"/>
          <w:sz w:val="24"/>
          <w:szCs w:val="24"/>
        </w:rPr>
      </w:pPr>
      <w:proofErr w:type="gramStart"/>
      <w:r w:rsidRPr="000F42F3">
        <w:rPr>
          <w:rFonts w:ascii="Arial" w:hAnsi="Arial" w:cs="Arial"/>
          <w:sz w:val="24"/>
          <w:szCs w:val="24"/>
        </w:rPr>
        <w:t>where</w:t>
      </w:r>
      <w:proofErr w:type="gramEnd"/>
      <w:r w:rsidRPr="000F42F3">
        <w:rPr>
          <w:rFonts w:ascii="Arial" w:hAnsi="Arial" w:cs="Arial"/>
          <w:sz w:val="24"/>
          <w:szCs w:val="24"/>
        </w:rPr>
        <w:t xml:space="preserve"> the powers of a director or prescribed officer of the company or a person related to the company </w:t>
      </w:r>
      <w:r w:rsidR="00A46056">
        <w:rPr>
          <w:rFonts w:ascii="Arial" w:hAnsi="Arial" w:cs="Arial"/>
          <w:sz w:val="24"/>
          <w:szCs w:val="24"/>
        </w:rPr>
        <w:t xml:space="preserve">are </w:t>
      </w:r>
      <w:r w:rsidRPr="000F42F3">
        <w:rPr>
          <w:rFonts w:ascii="Arial" w:hAnsi="Arial" w:cs="Arial"/>
          <w:sz w:val="24"/>
          <w:szCs w:val="24"/>
        </w:rPr>
        <w:t xml:space="preserve">being or have been exercised in a </w:t>
      </w:r>
      <w:r w:rsidR="001620AA" w:rsidRPr="000F42F3">
        <w:rPr>
          <w:rFonts w:ascii="Arial" w:hAnsi="Arial" w:cs="Arial"/>
          <w:sz w:val="24"/>
          <w:szCs w:val="24"/>
        </w:rPr>
        <w:t>ma</w:t>
      </w:r>
      <w:r w:rsidR="001620AA">
        <w:rPr>
          <w:rFonts w:ascii="Arial" w:hAnsi="Arial" w:cs="Arial"/>
          <w:sz w:val="24"/>
          <w:szCs w:val="24"/>
        </w:rPr>
        <w:t>nner</w:t>
      </w:r>
      <w:r w:rsidR="001620AA" w:rsidRPr="000F42F3">
        <w:rPr>
          <w:rFonts w:ascii="Arial" w:hAnsi="Arial" w:cs="Arial"/>
          <w:sz w:val="24"/>
          <w:szCs w:val="24"/>
        </w:rPr>
        <w:t xml:space="preserve"> </w:t>
      </w:r>
      <w:r w:rsidRPr="000F42F3">
        <w:rPr>
          <w:rFonts w:ascii="Arial" w:hAnsi="Arial" w:cs="Arial"/>
          <w:sz w:val="24"/>
          <w:szCs w:val="24"/>
        </w:rPr>
        <w:t>that is oppressive or unfairly prejudicial to or that unfairly disregards the interests of the applicant.</w:t>
      </w:r>
      <w:r w:rsidR="000E4DC7">
        <w:rPr>
          <w:rStyle w:val="FootnoteReference"/>
          <w:rFonts w:ascii="Arial" w:hAnsi="Arial" w:cs="Arial"/>
          <w:sz w:val="24"/>
          <w:szCs w:val="24"/>
        </w:rPr>
        <w:footnoteReference w:id="5"/>
      </w:r>
    </w:p>
    <w:p w14:paraId="16DE36EC" w14:textId="77777777" w:rsidR="004244DD" w:rsidRPr="000F42F3" w:rsidRDefault="004244DD" w:rsidP="004244DD">
      <w:pPr>
        <w:pStyle w:val="ListParagraph"/>
        <w:spacing w:line="360" w:lineRule="auto"/>
        <w:jc w:val="both"/>
        <w:rPr>
          <w:rFonts w:ascii="Arial" w:hAnsi="Arial" w:cs="Arial"/>
          <w:sz w:val="24"/>
          <w:szCs w:val="24"/>
        </w:rPr>
      </w:pPr>
    </w:p>
    <w:p w14:paraId="16DE36ED" w14:textId="77777777" w:rsidR="004244DD" w:rsidRDefault="004244DD" w:rsidP="004244DD">
      <w:pPr>
        <w:spacing w:line="360" w:lineRule="auto"/>
        <w:jc w:val="both"/>
        <w:rPr>
          <w:rFonts w:ascii="Arial" w:hAnsi="Arial" w:cs="Arial"/>
        </w:rPr>
      </w:pPr>
      <w:r>
        <w:rPr>
          <w:rFonts w:ascii="Arial" w:hAnsi="Arial" w:cs="Arial"/>
        </w:rPr>
        <w:t xml:space="preserve">From the above it is clear that this section requires that the conduct need not necessarily be unlawful (rights were deprived or compromised as enshrined in the MOI for example), instead it enables the court to take account of the applicant’s interests together with wide equitable considerations. Moreover, since the broad concept of a company by its nature is that its affairs are managed by a board of directors and that </w:t>
      </w:r>
      <w:r w:rsidR="001E5679">
        <w:rPr>
          <w:rFonts w:ascii="Arial" w:hAnsi="Arial" w:cs="Arial"/>
        </w:rPr>
        <w:t>S</w:t>
      </w:r>
      <w:r>
        <w:rPr>
          <w:rFonts w:ascii="Arial" w:hAnsi="Arial" w:cs="Arial"/>
        </w:rPr>
        <w:t xml:space="preserve">hareholders are bound by resolutions approved by the majority of them, this is therefore a valuable remedy for minority shareholders specifically. </w:t>
      </w:r>
    </w:p>
    <w:p w14:paraId="16DE36EE" w14:textId="77777777" w:rsidR="004244DD" w:rsidRDefault="004244DD" w:rsidP="004244DD">
      <w:pPr>
        <w:spacing w:line="360" w:lineRule="auto"/>
        <w:jc w:val="both"/>
        <w:rPr>
          <w:rFonts w:ascii="Arial" w:hAnsi="Arial" w:cs="Arial"/>
        </w:rPr>
      </w:pPr>
    </w:p>
    <w:p w14:paraId="16DE36EF" w14:textId="77777777" w:rsidR="004244DD" w:rsidRDefault="004244DD" w:rsidP="004244DD">
      <w:pPr>
        <w:spacing w:line="360" w:lineRule="auto"/>
        <w:jc w:val="both"/>
        <w:rPr>
          <w:rFonts w:ascii="Arial" w:hAnsi="Arial" w:cs="Arial"/>
        </w:rPr>
      </w:pPr>
      <w:r w:rsidRPr="000F42F3">
        <w:rPr>
          <w:rFonts w:ascii="Arial" w:hAnsi="Arial" w:cs="Arial"/>
        </w:rPr>
        <w:t>Some writers</w:t>
      </w:r>
      <w:r w:rsidR="001620AA">
        <w:rPr>
          <w:rFonts w:ascii="Arial" w:hAnsi="Arial" w:cs="Arial"/>
        </w:rPr>
        <w:t>,</w:t>
      </w:r>
      <w:r w:rsidRPr="000F42F3">
        <w:rPr>
          <w:rFonts w:ascii="Arial" w:hAnsi="Arial" w:cs="Arial"/>
        </w:rPr>
        <w:t xml:space="preserve"> as well as the court in the case of </w:t>
      </w:r>
      <w:r w:rsidRPr="007C3417">
        <w:rPr>
          <w:rFonts w:ascii="Arial" w:hAnsi="Arial" w:cs="Arial"/>
          <w:i/>
        </w:rPr>
        <w:t xml:space="preserve">inter alia Re Baltic real estate No2 </w:t>
      </w:r>
      <w:r w:rsidRPr="000F42F3">
        <w:rPr>
          <w:rFonts w:ascii="Arial" w:hAnsi="Arial" w:cs="Arial"/>
        </w:rPr>
        <w:t>1993 BCLC 503 among others</w:t>
      </w:r>
      <w:r w:rsidR="001620AA">
        <w:rPr>
          <w:rFonts w:ascii="Arial" w:hAnsi="Arial" w:cs="Arial"/>
        </w:rPr>
        <w:t>,</w:t>
      </w:r>
      <w:r w:rsidRPr="000F42F3">
        <w:rPr>
          <w:rFonts w:ascii="Arial" w:hAnsi="Arial" w:cs="Arial"/>
        </w:rPr>
        <w:t xml:space="preserve"> hold the view that this remedy is one exclusive to minority </w:t>
      </w:r>
      <w:r w:rsidR="001E5679">
        <w:rPr>
          <w:rFonts w:ascii="Arial" w:hAnsi="Arial" w:cs="Arial"/>
        </w:rPr>
        <w:t>S</w:t>
      </w:r>
      <w:r w:rsidRPr="000F42F3">
        <w:rPr>
          <w:rFonts w:ascii="Arial" w:hAnsi="Arial" w:cs="Arial"/>
        </w:rPr>
        <w:t xml:space="preserve">hareholders due to the fact that majority </w:t>
      </w:r>
      <w:r w:rsidR="001E5679">
        <w:rPr>
          <w:rFonts w:ascii="Arial" w:hAnsi="Arial" w:cs="Arial"/>
        </w:rPr>
        <w:t>S</w:t>
      </w:r>
      <w:r w:rsidRPr="000F42F3">
        <w:rPr>
          <w:rFonts w:ascii="Arial" w:hAnsi="Arial" w:cs="Arial"/>
        </w:rPr>
        <w:t>hareholders have the ability to remedy any oppressive measure by way of exercising their majority vote or voting power.</w:t>
      </w:r>
      <w:r w:rsidR="000E4DC7">
        <w:rPr>
          <w:rStyle w:val="FootnoteReference"/>
          <w:rFonts w:ascii="Arial" w:hAnsi="Arial" w:cs="Arial"/>
        </w:rPr>
        <w:footnoteReference w:id="6"/>
      </w:r>
      <w:r w:rsidRPr="000F42F3">
        <w:rPr>
          <w:rFonts w:ascii="Arial" w:hAnsi="Arial" w:cs="Arial"/>
        </w:rPr>
        <w:t xml:space="preserve"> </w:t>
      </w:r>
      <w:r>
        <w:rPr>
          <w:rFonts w:ascii="Arial" w:hAnsi="Arial" w:cs="Arial"/>
        </w:rPr>
        <w:t xml:space="preserve">It must be made clear that this is not a consideration of lack of </w:t>
      </w:r>
      <w:r w:rsidRPr="007C3417">
        <w:rPr>
          <w:rFonts w:ascii="Arial" w:hAnsi="Arial" w:cs="Arial"/>
          <w:i/>
        </w:rPr>
        <w:t xml:space="preserve">locus </w:t>
      </w:r>
      <w:proofErr w:type="spellStart"/>
      <w:r w:rsidRPr="007C3417">
        <w:rPr>
          <w:rFonts w:ascii="Arial" w:hAnsi="Arial" w:cs="Arial"/>
          <w:i/>
        </w:rPr>
        <w:t>standi</w:t>
      </w:r>
      <w:proofErr w:type="spellEnd"/>
      <w:r>
        <w:rPr>
          <w:rFonts w:ascii="Arial" w:hAnsi="Arial" w:cs="Arial"/>
        </w:rPr>
        <w:t xml:space="preserve"> (right to appear) but the absence of unfairly prejudicial conduct.</w:t>
      </w:r>
      <w:r w:rsidR="000E4DC7">
        <w:rPr>
          <w:rStyle w:val="FootnoteReference"/>
          <w:rFonts w:ascii="Arial" w:hAnsi="Arial" w:cs="Arial"/>
        </w:rPr>
        <w:footnoteReference w:id="7"/>
      </w:r>
      <w:r>
        <w:rPr>
          <w:rFonts w:ascii="Arial" w:hAnsi="Arial" w:cs="Arial"/>
        </w:rPr>
        <w:t xml:space="preserve"> </w:t>
      </w:r>
    </w:p>
    <w:p w14:paraId="16DE36F0" w14:textId="77777777" w:rsidR="004244DD" w:rsidRPr="000F42F3" w:rsidRDefault="004244DD" w:rsidP="004244DD">
      <w:pPr>
        <w:spacing w:line="360" w:lineRule="auto"/>
        <w:jc w:val="both"/>
        <w:rPr>
          <w:rFonts w:ascii="Arial" w:hAnsi="Arial" w:cs="Arial"/>
        </w:rPr>
      </w:pPr>
    </w:p>
    <w:p w14:paraId="16DE36F1" w14:textId="77777777" w:rsidR="004244DD" w:rsidRDefault="004244DD" w:rsidP="004244DD">
      <w:pPr>
        <w:spacing w:line="360" w:lineRule="auto"/>
        <w:jc w:val="both"/>
        <w:rPr>
          <w:rFonts w:ascii="Arial" w:hAnsi="Arial" w:cs="Arial"/>
        </w:rPr>
      </w:pPr>
      <w:r w:rsidRPr="000F42F3">
        <w:rPr>
          <w:rFonts w:ascii="Arial" w:hAnsi="Arial" w:cs="Arial"/>
        </w:rPr>
        <w:t xml:space="preserve">So, this remedy </w:t>
      </w:r>
      <w:r w:rsidR="00A46056">
        <w:rPr>
          <w:rFonts w:ascii="Arial" w:hAnsi="Arial" w:cs="Arial"/>
        </w:rPr>
        <w:t xml:space="preserve">is </w:t>
      </w:r>
      <w:r w:rsidRPr="000F42F3">
        <w:rPr>
          <w:rFonts w:ascii="Arial" w:hAnsi="Arial" w:cs="Arial"/>
        </w:rPr>
        <w:t xml:space="preserve">available to minority </w:t>
      </w:r>
      <w:r w:rsidR="001E5679">
        <w:rPr>
          <w:rFonts w:ascii="Arial" w:hAnsi="Arial" w:cs="Arial"/>
        </w:rPr>
        <w:t>S</w:t>
      </w:r>
      <w:r w:rsidRPr="000F42F3">
        <w:rPr>
          <w:rFonts w:ascii="Arial" w:hAnsi="Arial" w:cs="Arial"/>
        </w:rPr>
        <w:t xml:space="preserve">hareholders (according to the views above) </w:t>
      </w:r>
      <w:r w:rsidR="00A46056">
        <w:rPr>
          <w:rFonts w:ascii="Arial" w:hAnsi="Arial" w:cs="Arial"/>
        </w:rPr>
        <w:t xml:space="preserve">and </w:t>
      </w:r>
      <w:r w:rsidRPr="000F42F3">
        <w:rPr>
          <w:rFonts w:ascii="Arial" w:hAnsi="Arial" w:cs="Arial"/>
        </w:rPr>
        <w:t xml:space="preserve">may be invoked </w:t>
      </w:r>
      <w:r w:rsidR="001620AA">
        <w:rPr>
          <w:rFonts w:ascii="Arial" w:hAnsi="Arial" w:cs="Arial"/>
        </w:rPr>
        <w:t>where</w:t>
      </w:r>
      <w:r w:rsidRPr="000F42F3">
        <w:rPr>
          <w:rFonts w:ascii="Arial" w:hAnsi="Arial" w:cs="Arial"/>
        </w:rPr>
        <w:t xml:space="preserve"> conduct or omissions unfairly prejudice the interests of these shareholders. This is in my view may thus be a far wider approach to the enforcement of rights or protecting interests than the remedy contained in section 161. Furthermore (and in confirmation of my view), according to other writers, the test of the remedy is on fairness as opposed to unlawfulness. It should be noted however that the precise meaning of interests has not been defined </w:t>
      </w:r>
      <w:r w:rsidR="00A46056">
        <w:rPr>
          <w:rFonts w:ascii="Arial" w:hAnsi="Arial" w:cs="Arial"/>
        </w:rPr>
        <w:t>in</w:t>
      </w:r>
      <w:r w:rsidRPr="000F42F3">
        <w:rPr>
          <w:rFonts w:ascii="Arial" w:hAnsi="Arial" w:cs="Arial"/>
        </w:rPr>
        <w:t xml:space="preserve"> the </w:t>
      </w:r>
      <w:r w:rsidR="00A46056">
        <w:rPr>
          <w:rFonts w:ascii="Arial" w:hAnsi="Arial" w:cs="Arial"/>
        </w:rPr>
        <w:t>A</w:t>
      </w:r>
      <w:r w:rsidRPr="000F42F3">
        <w:rPr>
          <w:rFonts w:ascii="Arial" w:hAnsi="Arial" w:cs="Arial"/>
        </w:rPr>
        <w:t xml:space="preserve">ct, but can be assumed to include a wider definition than simply legal rights as enshrined in the Act or an MOI </w:t>
      </w:r>
      <w:r>
        <w:rPr>
          <w:rFonts w:ascii="Arial" w:hAnsi="Arial" w:cs="Arial"/>
        </w:rPr>
        <w:t>(</w:t>
      </w:r>
      <w:r w:rsidRPr="000F42F3">
        <w:rPr>
          <w:rFonts w:ascii="Arial" w:hAnsi="Arial" w:cs="Arial"/>
        </w:rPr>
        <w:t>for example</w:t>
      </w:r>
      <w:r>
        <w:rPr>
          <w:rFonts w:ascii="Arial" w:hAnsi="Arial" w:cs="Arial"/>
        </w:rPr>
        <w:t>)</w:t>
      </w:r>
      <w:r w:rsidRPr="000F42F3">
        <w:rPr>
          <w:rFonts w:ascii="Arial" w:hAnsi="Arial" w:cs="Arial"/>
        </w:rPr>
        <w:t>. Accordingly, legitimate expectations created by preceding agreements may also be included (thus this may include the enforcement of negotiations or agreements preceding the shareholders agreement and MOI).</w:t>
      </w:r>
      <w:r w:rsidR="00A46056">
        <w:rPr>
          <w:rFonts w:ascii="Arial" w:hAnsi="Arial" w:cs="Arial"/>
        </w:rPr>
        <w:t xml:space="preserve"> </w:t>
      </w:r>
      <w:r>
        <w:rPr>
          <w:rFonts w:ascii="Arial" w:hAnsi="Arial" w:cs="Arial"/>
        </w:rPr>
        <w:t xml:space="preserve">It further relates to any claims arising from past, present of future conduct. </w:t>
      </w:r>
      <w:r w:rsidR="000E4DC7">
        <w:rPr>
          <w:rStyle w:val="FootnoteReference"/>
          <w:rFonts w:ascii="Arial" w:hAnsi="Arial" w:cs="Arial"/>
        </w:rPr>
        <w:footnoteReference w:id="8"/>
      </w:r>
    </w:p>
    <w:p w14:paraId="16DE36F2" w14:textId="77777777" w:rsidR="004244DD" w:rsidRPr="000F42F3" w:rsidRDefault="004244DD" w:rsidP="004244DD">
      <w:pPr>
        <w:spacing w:line="360" w:lineRule="auto"/>
        <w:jc w:val="both"/>
        <w:rPr>
          <w:rFonts w:ascii="Arial" w:hAnsi="Arial" w:cs="Arial"/>
        </w:rPr>
      </w:pPr>
    </w:p>
    <w:p w14:paraId="16DE36F3" w14:textId="77777777" w:rsidR="004244DD" w:rsidRDefault="004244DD" w:rsidP="004244DD">
      <w:pPr>
        <w:spacing w:line="360" w:lineRule="auto"/>
        <w:jc w:val="both"/>
        <w:rPr>
          <w:rFonts w:ascii="Arial" w:hAnsi="Arial" w:cs="Arial"/>
        </w:rPr>
      </w:pPr>
      <w:r w:rsidRPr="000F42F3">
        <w:rPr>
          <w:rFonts w:ascii="Arial" w:hAnsi="Arial" w:cs="Arial"/>
          <w:b/>
        </w:rPr>
        <w:t>In terms of section 165</w:t>
      </w:r>
      <w:r w:rsidRPr="000F42F3">
        <w:rPr>
          <w:rFonts w:ascii="Arial" w:hAnsi="Arial" w:cs="Arial"/>
        </w:rPr>
        <w:t xml:space="preserve"> court action termed the derivative action may also be appli</w:t>
      </w:r>
      <w:r w:rsidR="00A46056">
        <w:rPr>
          <w:rFonts w:ascii="Arial" w:hAnsi="Arial" w:cs="Arial"/>
        </w:rPr>
        <w:t>cable</w:t>
      </w:r>
      <w:r w:rsidRPr="000F42F3">
        <w:rPr>
          <w:rFonts w:ascii="Arial" w:hAnsi="Arial" w:cs="Arial"/>
        </w:rPr>
        <w:t xml:space="preserve">. </w:t>
      </w:r>
    </w:p>
    <w:p w14:paraId="16DE36F4" w14:textId="77777777" w:rsidR="004244DD" w:rsidRPr="000F42F3" w:rsidRDefault="004244DD" w:rsidP="004244DD">
      <w:pPr>
        <w:spacing w:line="360" w:lineRule="auto"/>
        <w:jc w:val="both"/>
        <w:rPr>
          <w:rFonts w:ascii="Arial" w:hAnsi="Arial" w:cs="Arial"/>
        </w:rPr>
      </w:pPr>
    </w:p>
    <w:p w14:paraId="16DE36F5" w14:textId="77777777" w:rsidR="004244DD" w:rsidRDefault="004244DD" w:rsidP="004244DD">
      <w:pPr>
        <w:spacing w:line="360" w:lineRule="auto"/>
        <w:jc w:val="both"/>
        <w:rPr>
          <w:rFonts w:ascii="Arial" w:hAnsi="Arial" w:cs="Arial"/>
        </w:rPr>
      </w:pPr>
      <w:r w:rsidRPr="000F42F3">
        <w:rPr>
          <w:rFonts w:ascii="Arial" w:hAnsi="Arial" w:cs="Arial"/>
        </w:rPr>
        <w:t xml:space="preserve">Simply put, this action is one taken by an aggrieved </w:t>
      </w:r>
      <w:r w:rsidR="001E5679">
        <w:rPr>
          <w:rFonts w:ascii="Arial" w:hAnsi="Arial" w:cs="Arial"/>
        </w:rPr>
        <w:t>S</w:t>
      </w:r>
      <w:r w:rsidRPr="000F42F3">
        <w:rPr>
          <w:rFonts w:ascii="Arial" w:hAnsi="Arial" w:cs="Arial"/>
        </w:rPr>
        <w:t xml:space="preserve">hareholder against the managers of the company, a.k.a. the directors. Some writers described this action as follows: </w:t>
      </w:r>
    </w:p>
    <w:p w14:paraId="16DE36F6" w14:textId="77777777" w:rsidR="004244DD" w:rsidRPr="000F42F3" w:rsidRDefault="004244DD" w:rsidP="004244DD">
      <w:pPr>
        <w:spacing w:line="360" w:lineRule="auto"/>
        <w:jc w:val="both"/>
        <w:rPr>
          <w:rFonts w:ascii="Arial" w:hAnsi="Arial" w:cs="Arial"/>
        </w:rPr>
      </w:pPr>
    </w:p>
    <w:p w14:paraId="16DE36F7" w14:textId="77777777" w:rsidR="004244DD" w:rsidRDefault="004244DD" w:rsidP="004244DD">
      <w:pPr>
        <w:spacing w:line="360" w:lineRule="auto"/>
        <w:jc w:val="both"/>
        <w:rPr>
          <w:rFonts w:ascii="Arial" w:hAnsi="Arial" w:cs="Arial"/>
        </w:rPr>
      </w:pPr>
      <w:r w:rsidRPr="000F42F3">
        <w:rPr>
          <w:rFonts w:ascii="Arial" w:hAnsi="Arial" w:cs="Arial"/>
        </w:rPr>
        <w:t xml:space="preserve">“The statutory derivative action is an important minority shareholder protection measure. It shields the minority shareholders from the effects of corporate personality and majority rule. It enables a minority shareholder who knows of a wrong that is done to the company that has remained un-remedied by management to institute proceedings on behalf of the company.” </w:t>
      </w:r>
      <w:r w:rsidR="000E4DC7">
        <w:rPr>
          <w:rStyle w:val="FootnoteReference"/>
          <w:rFonts w:ascii="Arial" w:hAnsi="Arial" w:cs="Arial"/>
        </w:rPr>
        <w:footnoteReference w:id="9"/>
      </w:r>
    </w:p>
    <w:p w14:paraId="16DE36F8" w14:textId="77777777" w:rsidR="000E4DC7" w:rsidRPr="000F42F3" w:rsidRDefault="000E4DC7" w:rsidP="004244DD">
      <w:pPr>
        <w:spacing w:line="360" w:lineRule="auto"/>
        <w:jc w:val="both"/>
        <w:rPr>
          <w:rFonts w:ascii="Arial" w:hAnsi="Arial" w:cs="Arial"/>
        </w:rPr>
      </w:pPr>
    </w:p>
    <w:p w14:paraId="16DE36F9" w14:textId="77777777" w:rsidR="004244DD" w:rsidRDefault="004244DD" w:rsidP="004244DD">
      <w:pPr>
        <w:spacing w:line="360" w:lineRule="auto"/>
        <w:jc w:val="both"/>
        <w:rPr>
          <w:rFonts w:ascii="Arial" w:hAnsi="Arial" w:cs="Arial"/>
        </w:rPr>
      </w:pPr>
      <w:r>
        <w:rPr>
          <w:rFonts w:ascii="Arial" w:hAnsi="Arial" w:cs="Arial"/>
        </w:rPr>
        <w:t xml:space="preserve">The remedy is available to both </w:t>
      </w:r>
      <w:r w:rsidR="001E5679">
        <w:rPr>
          <w:rFonts w:ascii="Arial" w:hAnsi="Arial" w:cs="Arial"/>
        </w:rPr>
        <w:t>S</w:t>
      </w:r>
      <w:r>
        <w:rPr>
          <w:rFonts w:ascii="Arial" w:hAnsi="Arial" w:cs="Arial"/>
        </w:rPr>
        <w:t xml:space="preserve">hareholders (including minority </w:t>
      </w:r>
      <w:r w:rsidR="001E5679">
        <w:rPr>
          <w:rFonts w:ascii="Arial" w:hAnsi="Arial" w:cs="Arial"/>
        </w:rPr>
        <w:t>S</w:t>
      </w:r>
      <w:r>
        <w:rPr>
          <w:rFonts w:ascii="Arial" w:hAnsi="Arial" w:cs="Arial"/>
        </w:rPr>
        <w:t xml:space="preserve">hareholders but not limited to them) and directors which is vastly different from its predecessor. </w:t>
      </w:r>
    </w:p>
    <w:p w14:paraId="16DE36FA" w14:textId="77777777" w:rsidR="004244DD" w:rsidRPr="000F42F3" w:rsidRDefault="004244DD" w:rsidP="004244DD">
      <w:pPr>
        <w:spacing w:line="360" w:lineRule="auto"/>
        <w:jc w:val="both"/>
        <w:rPr>
          <w:rFonts w:ascii="Arial" w:hAnsi="Arial" w:cs="Arial"/>
        </w:rPr>
      </w:pPr>
    </w:p>
    <w:p w14:paraId="16DE36FB" w14:textId="77777777" w:rsidR="004244DD" w:rsidRDefault="004244DD" w:rsidP="004244DD">
      <w:pPr>
        <w:spacing w:line="360" w:lineRule="auto"/>
        <w:jc w:val="both"/>
        <w:rPr>
          <w:rFonts w:ascii="Arial" w:hAnsi="Arial" w:cs="Arial"/>
        </w:rPr>
      </w:pPr>
      <w:r w:rsidRPr="000F42F3">
        <w:rPr>
          <w:rFonts w:ascii="Arial" w:hAnsi="Arial" w:cs="Arial"/>
        </w:rPr>
        <w:t xml:space="preserve">The appraisal remedy, provided for </w:t>
      </w:r>
      <w:r w:rsidRPr="000F42F3">
        <w:rPr>
          <w:rFonts w:ascii="Arial" w:hAnsi="Arial" w:cs="Arial"/>
          <w:b/>
        </w:rPr>
        <w:t>in section 164</w:t>
      </w:r>
      <w:r w:rsidRPr="000F42F3">
        <w:rPr>
          <w:rFonts w:ascii="Arial" w:hAnsi="Arial" w:cs="Arial"/>
        </w:rPr>
        <w:t xml:space="preserve"> of the Companies Act, allows a </w:t>
      </w:r>
      <w:r w:rsidR="001E5679">
        <w:rPr>
          <w:rFonts w:ascii="Arial" w:hAnsi="Arial" w:cs="Arial"/>
        </w:rPr>
        <w:t>S</w:t>
      </w:r>
      <w:r w:rsidRPr="000F42F3">
        <w:rPr>
          <w:rFonts w:ascii="Arial" w:hAnsi="Arial" w:cs="Arial"/>
        </w:rPr>
        <w:t xml:space="preserve">hareholder to opt out of the company for a fair cash consideration if the company </w:t>
      </w:r>
      <w:r w:rsidRPr="000F42F3">
        <w:rPr>
          <w:rFonts w:ascii="Arial" w:hAnsi="Arial" w:cs="Arial"/>
        </w:rPr>
        <w:lastRenderedPageBreak/>
        <w:t xml:space="preserve">proceeds with certain corporate transactions with which the </w:t>
      </w:r>
      <w:r w:rsidR="001E5679">
        <w:rPr>
          <w:rFonts w:ascii="Arial" w:hAnsi="Arial" w:cs="Arial"/>
        </w:rPr>
        <w:t>S</w:t>
      </w:r>
      <w:r w:rsidRPr="000F42F3">
        <w:rPr>
          <w:rFonts w:ascii="Arial" w:hAnsi="Arial" w:cs="Arial"/>
        </w:rPr>
        <w:t xml:space="preserve">hareholder does not agree. </w:t>
      </w:r>
    </w:p>
    <w:p w14:paraId="16DE36FC" w14:textId="77777777" w:rsidR="004244DD" w:rsidRPr="000F42F3" w:rsidRDefault="004244DD" w:rsidP="004244DD">
      <w:pPr>
        <w:spacing w:line="360" w:lineRule="auto"/>
        <w:jc w:val="both"/>
        <w:rPr>
          <w:rFonts w:ascii="Arial" w:hAnsi="Arial" w:cs="Arial"/>
        </w:rPr>
      </w:pPr>
    </w:p>
    <w:p w14:paraId="16DE36FD" w14:textId="77777777" w:rsidR="004244DD" w:rsidRDefault="004244DD" w:rsidP="004244DD">
      <w:pPr>
        <w:spacing w:line="360" w:lineRule="auto"/>
        <w:jc w:val="both"/>
        <w:rPr>
          <w:rFonts w:ascii="Arial" w:hAnsi="Arial" w:cs="Arial"/>
        </w:rPr>
      </w:pPr>
      <w:r w:rsidRPr="000F42F3">
        <w:rPr>
          <w:rFonts w:ascii="Arial" w:hAnsi="Arial" w:cs="Arial"/>
        </w:rPr>
        <w:t>There are broadly two types of resolutions which may be taken by a company that will trigger the shareholder’s appraisal right:</w:t>
      </w:r>
      <w:r w:rsidR="000E4DC7">
        <w:rPr>
          <w:rStyle w:val="FootnoteReference"/>
          <w:rFonts w:ascii="Arial" w:hAnsi="Arial" w:cs="Arial"/>
        </w:rPr>
        <w:footnoteReference w:id="10"/>
      </w:r>
    </w:p>
    <w:p w14:paraId="16DE36FE" w14:textId="77777777" w:rsidR="004244DD" w:rsidRPr="000F42F3" w:rsidRDefault="004244DD" w:rsidP="004244DD">
      <w:pPr>
        <w:spacing w:line="360" w:lineRule="auto"/>
        <w:jc w:val="both"/>
        <w:rPr>
          <w:rFonts w:ascii="Arial" w:hAnsi="Arial" w:cs="Arial"/>
        </w:rPr>
      </w:pPr>
    </w:p>
    <w:p w14:paraId="16DE36FF" w14:textId="77777777" w:rsidR="004244DD" w:rsidRPr="000F42F3" w:rsidRDefault="004244DD" w:rsidP="004244DD">
      <w:pPr>
        <w:pStyle w:val="ListParagraph"/>
        <w:numPr>
          <w:ilvl w:val="0"/>
          <w:numId w:val="2"/>
        </w:numPr>
        <w:spacing w:line="360" w:lineRule="auto"/>
        <w:jc w:val="both"/>
        <w:rPr>
          <w:rFonts w:ascii="Arial" w:hAnsi="Arial" w:cs="Arial"/>
          <w:sz w:val="24"/>
          <w:szCs w:val="24"/>
        </w:rPr>
      </w:pPr>
      <w:r w:rsidRPr="000F42F3">
        <w:rPr>
          <w:rFonts w:ascii="Arial" w:hAnsi="Arial" w:cs="Arial"/>
          <w:sz w:val="24"/>
          <w:szCs w:val="24"/>
        </w:rPr>
        <w:t>a resolution to amend the company’s Memorandum of Incorporation so as to alter the preferences, rights, limitations or any other terms of a class of its shares; and</w:t>
      </w:r>
    </w:p>
    <w:p w14:paraId="16DE3700" w14:textId="77777777" w:rsidR="004244DD" w:rsidRDefault="004244DD" w:rsidP="004244DD">
      <w:pPr>
        <w:pStyle w:val="ListParagraph"/>
        <w:numPr>
          <w:ilvl w:val="0"/>
          <w:numId w:val="2"/>
        </w:numPr>
        <w:spacing w:line="360" w:lineRule="auto"/>
        <w:jc w:val="both"/>
        <w:rPr>
          <w:rFonts w:ascii="Arial" w:hAnsi="Arial" w:cs="Arial"/>
          <w:sz w:val="24"/>
          <w:szCs w:val="24"/>
        </w:rPr>
      </w:pPr>
      <w:proofErr w:type="gramStart"/>
      <w:r w:rsidRPr="000F42F3">
        <w:rPr>
          <w:rFonts w:ascii="Arial" w:hAnsi="Arial" w:cs="Arial"/>
          <w:sz w:val="24"/>
          <w:szCs w:val="24"/>
        </w:rPr>
        <w:t>a</w:t>
      </w:r>
      <w:proofErr w:type="gramEnd"/>
      <w:r w:rsidRPr="000F42F3">
        <w:rPr>
          <w:rFonts w:ascii="Arial" w:hAnsi="Arial" w:cs="Arial"/>
          <w:sz w:val="24"/>
          <w:szCs w:val="24"/>
        </w:rPr>
        <w:t xml:space="preserve"> resolution to enter into a fundamental transaction, for example, to dispose of all or the greater part of the company’s assets or undertakings, to merge or amalgamate with another company or to enter into a scheme of arrangement.</w:t>
      </w:r>
    </w:p>
    <w:p w14:paraId="16DE3701" w14:textId="77777777" w:rsidR="004244DD" w:rsidRDefault="004244DD" w:rsidP="004244DD">
      <w:pPr>
        <w:spacing w:line="360" w:lineRule="auto"/>
        <w:rPr>
          <w:rFonts w:ascii="Arial" w:hAnsi="Arial" w:cs="Arial"/>
        </w:rPr>
      </w:pPr>
    </w:p>
    <w:p w14:paraId="16DE3702" w14:textId="77777777" w:rsidR="004244DD" w:rsidRDefault="004244DD" w:rsidP="004244DD">
      <w:pPr>
        <w:spacing w:line="360" w:lineRule="auto"/>
        <w:rPr>
          <w:rFonts w:ascii="Arial" w:hAnsi="Arial" w:cs="Arial"/>
        </w:rPr>
      </w:pPr>
      <w:r>
        <w:rPr>
          <w:rFonts w:ascii="Arial" w:hAnsi="Arial" w:cs="Arial"/>
        </w:rPr>
        <w:t>Once there is a trigg</w:t>
      </w:r>
      <w:r w:rsidR="001620AA">
        <w:rPr>
          <w:rFonts w:ascii="Arial" w:hAnsi="Arial" w:cs="Arial"/>
        </w:rPr>
        <w:t>er</w:t>
      </w:r>
      <w:r>
        <w:rPr>
          <w:rFonts w:ascii="Arial" w:hAnsi="Arial" w:cs="Arial"/>
        </w:rPr>
        <w:t xml:space="preserve">ing transaction, the dissenting </w:t>
      </w:r>
      <w:r w:rsidR="001E5679">
        <w:rPr>
          <w:rFonts w:ascii="Arial" w:hAnsi="Arial" w:cs="Arial"/>
        </w:rPr>
        <w:t>S</w:t>
      </w:r>
      <w:r>
        <w:rPr>
          <w:rFonts w:ascii="Arial" w:hAnsi="Arial" w:cs="Arial"/>
        </w:rPr>
        <w:t>hareholder must:</w:t>
      </w:r>
      <w:r w:rsidR="00F61BEB">
        <w:rPr>
          <w:rStyle w:val="FootnoteReference"/>
          <w:rFonts w:ascii="Arial" w:hAnsi="Arial" w:cs="Arial"/>
        </w:rPr>
        <w:footnoteReference w:id="11"/>
      </w:r>
      <w:r>
        <w:rPr>
          <w:rFonts w:ascii="Arial" w:hAnsi="Arial" w:cs="Arial"/>
        </w:rPr>
        <w:t xml:space="preserve"> </w:t>
      </w:r>
    </w:p>
    <w:p w14:paraId="16DE3703" w14:textId="77777777" w:rsidR="004244DD" w:rsidRDefault="004244DD" w:rsidP="004244DD">
      <w:pPr>
        <w:spacing w:line="360" w:lineRule="auto"/>
        <w:rPr>
          <w:rFonts w:ascii="Arial" w:hAnsi="Arial" w:cs="Arial"/>
        </w:rPr>
      </w:pPr>
    </w:p>
    <w:p w14:paraId="16DE3704" w14:textId="77777777" w:rsidR="004244DD" w:rsidRDefault="004244DD" w:rsidP="001E5679">
      <w:pPr>
        <w:pStyle w:val="ListParagraph"/>
        <w:numPr>
          <w:ilvl w:val="0"/>
          <w:numId w:val="3"/>
        </w:numPr>
        <w:spacing w:line="360" w:lineRule="auto"/>
        <w:jc w:val="both"/>
        <w:rPr>
          <w:rFonts w:ascii="Arial" w:hAnsi="Arial" w:cs="Arial"/>
          <w:sz w:val="24"/>
          <w:szCs w:val="24"/>
        </w:rPr>
      </w:pPr>
      <w:r>
        <w:rPr>
          <w:rFonts w:ascii="Arial" w:hAnsi="Arial" w:cs="Arial"/>
          <w:sz w:val="24"/>
          <w:szCs w:val="24"/>
        </w:rPr>
        <w:t>Perfect his appraisal right by sending a written objection to the company</w:t>
      </w:r>
      <w:r w:rsidR="001E5679">
        <w:rPr>
          <w:rFonts w:ascii="Arial" w:hAnsi="Arial" w:cs="Arial"/>
          <w:sz w:val="24"/>
          <w:szCs w:val="24"/>
        </w:rPr>
        <w:t xml:space="preserve">  </w:t>
      </w:r>
      <w:r>
        <w:rPr>
          <w:rFonts w:ascii="Arial" w:hAnsi="Arial" w:cs="Arial"/>
          <w:sz w:val="24"/>
          <w:szCs w:val="24"/>
        </w:rPr>
        <w:t>before the resolution is voted on;</w:t>
      </w:r>
    </w:p>
    <w:p w14:paraId="16DE3705" w14:textId="77777777" w:rsidR="004244DD" w:rsidRDefault="004244DD" w:rsidP="001E5679">
      <w:pPr>
        <w:pStyle w:val="ListParagraph"/>
        <w:numPr>
          <w:ilvl w:val="0"/>
          <w:numId w:val="3"/>
        </w:numPr>
        <w:spacing w:line="360" w:lineRule="auto"/>
        <w:jc w:val="both"/>
        <w:rPr>
          <w:rFonts w:ascii="Arial" w:hAnsi="Arial" w:cs="Arial"/>
          <w:sz w:val="24"/>
          <w:szCs w:val="24"/>
        </w:rPr>
      </w:pPr>
      <w:r>
        <w:rPr>
          <w:rFonts w:ascii="Arial" w:hAnsi="Arial" w:cs="Arial"/>
          <w:sz w:val="24"/>
          <w:szCs w:val="24"/>
        </w:rPr>
        <w:t>Vote against the said resolution;</w:t>
      </w:r>
    </w:p>
    <w:p w14:paraId="16DE3706" w14:textId="77777777" w:rsidR="004244DD" w:rsidRDefault="004244DD" w:rsidP="001E5679">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Deliver a written demand for the fair value of the shares to the company if the company adopts the resolution in question; and </w:t>
      </w:r>
    </w:p>
    <w:p w14:paraId="16DE3707" w14:textId="77777777" w:rsidR="004244DD" w:rsidRDefault="004244DD" w:rsidP="004244DD">
      <w:pPr>
        <w:pStyle w:val="ListParagraph"/>
        <w:numPr>
          <w:ilvl w:val="0"/>
          <w:numId w:val="3"/>
        </w:numPr>
        <w:spacing w:line="360" w:lineRule="auto"/>
        <w:rPr>
          <w:rFonts w:ascii="Arial" w:hAnsi="Arial" w:cs="Arial"/>
          <w:sz w:val="24"/>
          <w:szCs w:val="24"/>
        </w:rPr>
      </w:pPr>
      <w:r w:rsidRPr="0086515A">
        <w:rPr>
          <w:rFonts w:ascii="Arial" w:hAnsi="Arial" w:cs="Arial"/>
          <w:sz w:val="24"/>
          <w:szCs w:val="24"/>
        </w:rPr>
        <w:t>Comply with all other procedural requirements.</w:t>
      </w:r>
    </w:p>
    <w:p w14:paraId="16DE3708" w14:textId="77777777" w:rsidR="004244DD" w:rsidRPr="00095A4A" w:rsidRDefault="004244DD" w:rsidP="004244DD">
      <w:pPr>
        <w:spacing w:line="360" w:lineRule="auto"/>
        <w:jc w:val="both"/>
        <w:rPr>
          <w:rFonts w:ascii="Arial" w:hAnsi="Arial" w:cs="Arial"/>
        </w:rPr>
      </w:pPr>
    </w:p>
    <w:p w14:paraId="16DE3709" w14:textId="77777777" w:rsidR="004244DD" w:rsidRDefault="004244DD" w:rsidP="00F61BEB">
      <w:pPr>
        <w:spacing w:line="360" w:lineRule="auto"/>
        <w:jc w:val="both"/>
        <w:rPr>
          <w:rFonts w:ascii="Arial" w:hAnsi="Arial" w:cs="Arial"/>
        </w:rPr>
      </w:pPr>
      <w:r w:rsidRPr="000F42F3">
        <w:rPr>
          <w:rFonts w:ascii="Arial" w:hAnsi="Arial" w:cs="Arial"/>
        </w:rPr>
        <w:t>It should be noted however that the provisions of directors</w:t>
      </w:r>
      <w:r w:rsidR="001E5679">
        <w:rPr>
          <w:rFonts w:ascii="Arial" w:hAnsi="Arial" w:cs="Arial"/>
        </w:rPr>
        <w:t>’</w:t>
      </w:r>
      <w:r w:rsidRPr="000F42F3">
        <w:rPr>
          <w:rFonts w:ascii="Arial" w:hAnsi="Arial" w:cs="Arial"/>
        </w:rPr>
        <w:t xml:space="preserve"> liability as well </w:t>
      </w:r>
      <w:r w:rsidR="001620AA">
        <w:rPr>
          <w:rFonts w:ascii="Arial" w:hAnsi="Arial" w:cs="Arial"/>
        </w:rPr>
        <w:t>a</w:t>
      </w:r>
      <w:r w:rsidR="001620AA" w:rsidRPr="000F42F3">
        <w:rPr>
          <w:rFonts w:ascii="Arial" w:hAnsi="Arial" w:cs="Arial"/>
        </w:rPr>
        <w:t xml:space="preserve">s </w:t>
      </w:r>
      <w:r w:rsidRPr="000F42F3">
        <w:rPr>
          <w:rFonts w:ascii="Arial" w:hAnsi="Arial" w:cs="Arial"/>
        </w:rPr>
        <w:t xml:space="preserve">piercing the veil may also be considered as tools to remedy any harm done. </w:t>
      </w:r>
    </w:p>
    <w:p w14:paraId="16DE370A" w14:textId="77777777" w:rsidR="00FE1BF9" w:rsidRDefault="00FE1BF9"/>
    <w:p w14:paraId="16DE370B" w14:textId="77777777" w:rsidR="008248ED" w:rsidRDefault="001620AA">
      <w:pPr>
        <w:rPr>
          <w:rFonts w:ascii="Arial" w:hAnsi="Arial" w:cs="Arial"/>
          <w:b/>
          <w:i/>
        </w:rPr>
      </w:pPr>
      <w:r w:rsidRPr="008248ED">
        <w:rPr>
          <w:rFonts w:ascii="Arial" w:hAnsi="Arial" w:cs="Arial"/>
          <w:b/>
          <w:i/>
        </w:rPr>
        <w:t>Conclusion</w:t>
      </w:r>
    </w:p>
    <w:p w14:paraId="16DE370C" w14:textId="77777777" w:rsidR="008248ED" w:rsidRDefault="008248ED">
      <w:pPr>
        <w:rPr>
          <w:rFonts w:ascii="Arial" w:hAnsi="Arial" w:cs="Arial"/>
          <w:b/>
          <w:i/>
        </w:rPr>
      </w:pPr>
    </w:p>
    <w:p w14:paraId="16DE370D" w14:textId="77777777" w:rsidR="008248ED" w:rsidRDefault="008248ED" w:rsidP="008248ED">
      <w:pPr>
        <w:spacing w:line="360" w:lineRule="auto"/>
        <w:jc w:val="both"/>
        <w:rPr>
          <w:rFonts w:ascii="Arial" w:hAnsi="Arial" w:cs="Arial"/>
        </w:rPr>
      </w:pPr>
      <w:r w:rsidRPr="008248ED">
        <w:rPr>
          <w:rFonts w:ascii="Arial" w:hAnsi="Arial" w:cs="Arial"/>
        </w:rPr>
        <w:t>The reality is</w:t>
      </w:r>
      <w:proofErr w:type="gramStart"/>
      <w:r w:rsidRPr="008248ED">
        <w:rPr>
          <w:rFonts w:ascii="Arial" w:hAnsi="Arial" w:cs="Arial"/>
        </w:rPr>
        <w:t>,</w:t>
      </w:r>
      <w:proofErr w:type="gramEnd"/>
      <w:r w:rsidRPr="008248ED">
        <w:rPr>
          <w:rFonts w:ascii="Arial" w:hAnsi="Arial" w:cs="Arial"/>
        </w:rPr>
        <w:t xml:space="preserve"> all the remedies involve approaching court</w:t>
      </w:r>
      <w:r>
        <w:rPr>
          <w:rFonts w:ascii="Arial" w:hAnsi="Arial" w:cs="Arial"/>
        </w:rPr>
        <w:t xml:space="preserve"> which may be out of reach of many minority </w:t>
      </w:r>
      <w:r w:rsidR="001E5679">
        <w:rPr>
          <w:rFonts w:ascii="Arial" w:hAnsi="Arial" w:cs="Arial"/>
        </w:rPr>
        <w:t>S</w:t>
      </w:r>
      <w:r>
        <w:rPr>
          <w:rFonts w:ascii="Arial" w:hAnsi="Arial" w:cs="Arial"/>
        </w:rPr>
        <w:t xml:space="preserve">hareholders financially. It is therefore of the utmost importance </w:t>
      </w:r>
      <w:r w:rsidR="00F1394D">
        <w:rPr>
          <w:rFonts w:ascii="Arial" w:hAnsi="Arial" w:cs="Arial"/>
        </w:rPr>
        <w:t xml:space="preserve">that </w:t>
      </w:r>
      <w:r w:rsidR="001E5679">
        <w:rPr>
          <w:rFonts w:ascii="Arial" w:hAnsi="Arial" w:cs="Arial"/>
        </w:rPr>
        <w:t>S</w:t>
      </w:r>
      <w:r w:rsidR="00F1394D">
        <w:rPr>
          <w:rFonts w:ascii="Arial" w:hAnsi="Arial" w:cs="Arial"/>
        </w:rPr>
        <w:t>hareholders</w:t>
      </w:r>
      <w:r>
        <w:rPr>
          <w:rFonts w:ascii="Arial" w:hAnsi="Arial" w:cs="Arial"/>
        </w:rPr>
        <w:t xml:space="preserve"> consult with their attorneys before investing.</w:t>
      </w:r>
    </w:p>
    <w:p w14:paraId="2A16AC1B" w14:textId="77777777" w:rsidR="002050E6" w:rsidRPr="0054426A" w:rsidRDefault="002050E6" w:rsidP="002050E6">
      <w:pPr>
        <w:pStyle w:val="NormalWeb"/>
        <w:spacing w:before="28" w:beforeAutospacing="0" w:after="28" w:afterAutospacing="0"/>
        <w:rPr>
          <w:rFonts w:ascii="Arial" w:hAnsi="Arial" w:cs="Arial"/>
          <w:sz w:val="22"/>
          <w:szCs w:val="22"/>
        </w:rPr>
      </w:pPr>
      <w:proofErr w:type="spellStart"/>
      <w:r w:rsidRPr="0054426A">
        <w:rPr>
          <w:rFonts w:ascii="Arial" w:hAnsi="Arial" w:cs="Arial"/>
          <w:b/>
          <w:bCs/>
          <w:sz w:val="22"/>
          <w:szCs w:val="22"/>
        </w:rPr>
        <w:t>Nicolene</w:t>
      </w:r>
      <w:proofErr w:type="spellEnd"/>
      <w:r w:rsidRPr="0054426A">
        <w:rPr>
          <w:rFonts w:ascii="Arial" w:hAnsi="Arial" w:cs="Arial"/>
          <w:b/>
          <w:bCs/>
          <w:sz w:val="22"/>
          <w:szCs w:val="22"/>
        </w:rPr>
        <w:t xml:space="preserve"> </w:t>
      </w:r>
      <w:proofErr w:type="spellStart"/>
      <w:r w:rsidRPr="0054426A">
        <w:rPr>
          <w:rFonts w:ascii="Arial" w:hAnsi="Arial" w:cs="Arial"/>
          <w:b/>
          <w:bCs/>
          <w:sz w:val="22"/>
          <w:szCs w:val="22"/>
        </w:rPr>
        <w:t>Schoeman</w:t>
      </w:r>
      <w:proofErr w:type="spellEnd"/>
      <w:r w:rsidRPr="0054426A">
        <w:rPr>
          <w:rFonts w:ascii="Arial" w:hAnsi="Arial" w:cs="Arial"/>
          <w:b/>
          <w:bCs/>
          <w:sz w:val="22"/>
          <w:szCs w:val="22"/>
        </w:rPr>
        <w:t xml:space="preserve">, </w:t>
      </w:r>
      <w:proofErr w:type="spellStart"/>
      <w:r w:rsidRPr="0054426A">
        <w:rPr>
          <w:rFonts w:ascii="Arial" w:hAnsi="Arial" w:cs="Arial"/>
          <w:b/>
          <w:bCs/>
          <w:sz w:val="22"/>
          <w:szCs w:val="22"/>
        </w:rPr>
        <w:t>Schoeman</w:t>
      </w:r>
      <w:proofErr w:type="spellEnd"/>
      <w:r w:rsidRPr="0054426A">
        <w:rPr>
          <w:rFonts w:ascii="Arial" w:hAnsi="Arial" w:cs="Arial"/>
          <w:b/>
          <w:bCs/>
          <w:sz w:val="22"/>
          <w:szCs w:val="22"/>
        </w:rPr>
        <w:t xml:space="preserve"> Attorneys (Cape Town)</w:t>
      </w:r>
    </w:p>
    <w:p w14:paraId="42D55FD9" w14:textId="77777777" w:rsidR="002050E6" w:rsidRPr="0054426A" w:rsidRDefault="002050E6" w:rsidP="002050E6">
      <w:pPr>
        <w:pStyle w:val="NormalWeb"/>
        <w:spacing w:before="28" w:beforeAutospacing="0" w:after="28" w:afterAutospacing="0"/>
        <w:rPr>
          <w:rFonts w:ascii="Arial" w:hAnsi="Arial" w:cs="Arial"/>
          <w:sz w:val="22"/>
          <w:szCs w:val="22"/>
        </w:rPr>
      </w:pPr>
      <w:r w:rsidRPr="0054426A">
        <w:rPr>
          <w:rFonts w:ascii="Arial" w:hAnsi="Arial" w:cs="Arial"/>
          <w:sz w:val="22"/>
          <w:szCs w:val="22"/>
        </w:rPr>
        <w:t> </w:t>
      </w:r>
    </w:p>
    <w:p w14:paraId="0ECAF215" w14:textId="77777777" w:rsidR="002050E6" w:rsidRPr="0054426A" w:rsidRDefault="002050E6" w:rsidP="002050E6">
      <w:pPr>
        <w:pStyle w:val="NormalWeb"/>
        <w:spacing w:before="28" w:beforeAutospacing="0" w:after="28" w:afterAutospacing="0"/>
        <w:rPr>
          <w:rFonts w:ascii="Arial" w:hAnsi="Arial" w:cs="Arial"/>
          <w:sz w:val="22"/>
          <w:szCs w:val="22"/>
        </w:rPr>
      </w:pPr>
      <w:r w:rsidRPr="0054426A">
        <w:rPr>
          <w:rFonts w:ascii="Arial" w:hAnsi="Arial" w:cs="Arial"/>
          <w:sz w:val="22"/>
          <w:szCs w:val="22"/>
        </w:rPr>
        <w:t>Tel: 0214255604</w:t>
      </w:r>
    </w:p>
    <w:p w14:paraId="1AB5D8D6" w14:textId="77777777" w:rsidR="002050E6" w:rsidRPr="0054426A" w:rsidRDefault="002050E6" w:rsidP="002050E6">
      <w:pPr>
        <w:pStyle w:val="NormalWeb"/>
        <w:spacing w:before="28" w:beforeAutospacing="0" w:after="28" w:afterAutospacing="0"/>
        <w:rPr>
          <w:rFonts w:ascii="Arial" w:hAnsi="Arial" w:cs="Arial"/>
          <w:sz w:val="22"/>
          <w:szCs w:val="22"/>
        </w:rPr>
      </w:pPr>
      <w:r w:rsidRPr="0054426A">
        <w:rPr>
          <w:rFonts w:ascii="Arial" w:hAnsi="Arial" w:cs="Arial"/>
          <w:sz w:val="22"/>
          <w:szCs w:val="22"/>
        </w:rPr>
        <w:lastRenderedPageBreak/>
        <w:t> </w:t>
      </w:r>
    </w:p>
    <w:p w14:paraId="4D4C4EFA" w14:textId="77777777" w:rsidR="002050E6" w:rsidRPr="0054426A" w:rsidRDefault="002050E6" w:rsidP="002050E6">
      <w:pPr>
        <w:pStyle w:val="NormalWeb"/>
        <w:spacing w:before="28" w:beforeAutospacing="0" w:after="28" w:afterAutospacing="0"/>
        <w:rPr>
          <w:rFonts w:ascii="Arial" w:hAnsi="Arial" w:cs="Arial"/>
          <w:sz w:val="22"/>
          <w:szCs w:val="22"/>
        </w:rPr>
      </w:pPr>
      <w:r w:rsidRPr="0054426A">
        <w:rPr>
          <w:rFonts w:ascii="Arial" w:hAnsi="Arial" w:cs="Arial"/>
          <w:sz w:val="22"/>
          <w:szCs w:val="22"/>
        </w:rPr>
        <w:t xml:space="preserve">Email: </w:t>
      </w:r>
      <w:hyperlink r:id="rId12" w:history="1">
        <w:r w:rsidRPr="0054426A">
          <w:rPr>
            <w:rStyle w:val="Hyperlink"/>
            <w:rFonts w:ascii="Arial" w:hAnsi="Arial" w:cs="Arial"/>
            <w:sz w:val="22"/>
            <w:szCs w:val="22"/>
          </w:rPr>
          <w:t>enquiries@schoemanlaw.co.za</w:t>
        </w:r>
      </w:hyperlink>
    </w:p>
    <w:p w14:paraId="037EA05F" w14:textId="77777777" w:rsidR="002050E6" w:rsidRPr="0054426A" w:rsidRDefault="002050E6" w:rsidP="002050E6">
      <w:pPr>
        <w:pStyle w:val="NormalWeb"/>
        <w:spacing w:before="28" w:beforeAutospacing="0" w:after="28" w:afterAutospacing="0"/>
        <w:rPr>
          <w:rFonts w:ascii="Arial" w:hAnsi="Arial" w:cs="Arial"/>
          <w:sz w:val="22"/>
          <w:szCs w:val="22"/>
        </w:rPr>
      </w:pPr>
      <w:r w:rsidRPr="0054426A">
        <w:rPr>
          <w:rFonts w:ascii="Arial" w:hAnsi="Arial" w:cs="Arial"/>
          <w:sz w:val="22"/>
          <w:szCs w:val="22"/>
        </w:rPr>
        <w:t> </w:t>
      </w:r>
    </w:p>
    <w:p w14:paraId="2BDAFDEE" w14:textId="77777777" w:rsidR="002050E6" w:rsidRPr="0054426A" w:rsidRDefault="002050E6" w:rsidP="002050E6">
      <w:pPr>
        <w:pStyle w:val="NormalWeb"/>
        <w:spacing w:before="28" w:beforeAutospacing="0" w:after="28" w:afterAutospacing="0"/>
        <w:rPr>
          <w:rFonts w:ascii="Arial" w:hAnsi="Arial" w:cs="Arial"/>
          <w:sz w:val="22"/>
          <w:szCs w:val="22"/>
        </w:rPr>
      </w:pPr>
      <w:r w:rsidRPr="0054426A">
        <w:rPr>
          <w:rFonts w:ascii="Arial" w:hAnsi="Arial" w:cs="Arial"/>
          <w:sz w:val="22"/>
          <w:szCs w:val="22"/>
        </w:rPr>
        <w:t xml:space="preserve">Website: </w:t>
      </w:r>
      <w:hyperlink r:id="rId13" w:history="1">
        <w:r w:rsidRPr="0054426A">
          <w:rPr>
            <w:rStyle w:val="Hyperlink"/>
            <w:rFonts w:ascii="Arial" w:hAnsi="Arial" w:cs="Arial"/>
            <w:sz w:val="22"/>
            <w:szCs w:val="22"/>
          </w:rPr>
          <w:t>www.schoemanlaw.co.za</w:t>
        </w:r>
      </w:hyperlink>
    </w:p>
    <w:p w14:paraId="0B4C6DC1" w14:textId="77777777" w:rsidR="002050E6" w:rsidRPr="0054426A" w:rsidRDefault="002050E6" w:rsidP="002050E6">
      <w:pPr>
        <w:spacing w:before="100" w:beforeAutospacing="1" w:after="100" w:afterAutospacing="1"/>
        <w:rPr>
          <w:rFonts w:ascii="Arial" w:hAnsi="Arial" w:cs="Arial"/>
          <w:lang w:eastAsia="en-GB"/>
        </w:rPr>
      </w:pPr>
      <w:r w:rsidRPr="0054426A">
        <w:rPr>
          <w:rFonts w:ascii="Arial" w:hAnsi="Arial" w:cs="Arial"/>
          <w:lang w:eastAsia="en-GB"/>
        </w:rPr>
        <w:t xml:space="preserve">Facebook: </w:t>
      </w:r>
      <w:hyperlink r:id="rId14" w:history="1">
        <w:r w:rsidRPr="0054426A">
          <w:rPr>
            <w:rStyle w:val="Hyperlink"/>
            <w:rFonts w:ascii="Arial" w:hAnsi="Arial" w:cs="Arial"/>
            <w:lang w:eastAsia="en-GB"/>
          </w:rPr>
          <w:t>https://www.facebook.com/pages/Schoeman-Attorneys-Cape-Town/125007317531885</w:t>
        </w:r>
      </w:hyperlink>
      <w:r w:rsidRPr="0054426A">
        <w:rPr>
          <w:rFonts w:ascii="Arial" w:hAnsi="Arial" w:cs="Arial"/>
          <w:lang w:eastAsia="en-GB"/>
        </w:rPr>
        <w:t xml:space="preserve">   </w:t>
      </w:r>
    </w:p>
    <w:p w14:paraId="0E1B33DF" w14:textId="77777777" w:rsidR="002050E6" w:rsidRPr="0054426A" w:rsidRDefault="002050E6" w:rsidP="002050E6">
      <w:pPr>
        <w:spacing w:before="100" w:beforeAutospacing="1" w:after="100" w:afterAutospacing="1"/>
        <w:rPr>
          <w:rFonts w:ascii="Arial" w:hAnsi="Arial" w:cs="Arial"/>
          <w:lang w:eastAsia="en-GB"/>
        </w:rPr>
      </w:pPr>
      <w:r w:rsidRPr="0054426A">
        <w:rPr>
          <w:rFonts w:ascii="Arial" w:hAnsi="Arial" w:cs="Arial"/>
          <w:lang w:eastAsia="en-GB"/>
        </w:rPr>
        <w:t xml:space="preserve"> Twitter: </w:t>
      </w:r>
      <w:hyperlink r:id="rId15" w:history="1">
        <w:r w:rsidRPr="0054426A">
          <w:rPr>
            <w:rStyle w:val="Hyperlink"/>
            <w:rFonts w:ascii="Arial" w:hAnsi="Arial" w:cs="Arial"/>
            <w:lang w:eastAsia="en-GB"/>
          </w:rPr>
          <w:t>https://www.twitter.com/NicoleneS_Att</w:t>
        </w:r>
      </w:hyperlink>
      <w:r w:rsidRPr="0054426A">
        <w:rPr>
          <w:rFonts w:ascii="Arial" w:hAnsi="Arial" w:cs="Arial"/>
          <w:lang w:eastAsia="en-GB"/>
        </w:rPr>
        <w:t xml:space="preserve"> </w:t>
      </w:r>
    </w:p>
    <w:p w14:paraId="055FEC57" w14:textId="77777777" w:rsidR="002050E6" w:rsidRPr="008248ED" w:rsidRDefault="002050E6" w:rsidP="008248ED">
      <w:pPr>
        <w:spacing w:line="360" w:lineRule="auto"/>
        <w:jc w:val="both"/>
        <w:rPr>
          <w:rFonts w:ascii="Arial" w:hAnsi="Arial" w:cs="Arial"/>
        </w:rPr>
      </w:pPr>
    </w:p>
    <w:sectPr w:rsidR="002050E6" w:rsidRPr="008248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E56C6B" w14:textId="77777777" w:rsidR="003A5C21" w:rsidRDefault="003A5C21" w:rsidP="007D6EA6">
      <w:r>
        <w:separator/>
      </w:r>
    </w:p>
  </w:endnote>
  <w:endnote w:type="continuationSeparator" w:id="0">
    <w:p w14:paraId="255A8EEB" w14:textId="77777777" w:rsidR="003A5C21" w:rsidRDefault="003A5C21" w:rsidP="007D6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389DFC" w14:textId="77777777" w:rsidR="003A5C21" w:rsidRDefault="003A5C21" w:rsidP="007D6EA6">
      <w:r>
        <w:separator/>
      </w:r>
    </w:p>
  </w:footnote>
  <w:footnote w:type="continuationSeparator" w:id="0">
    <w:p w14:paraId="6D010E77" w14:textId="77777777" w:rsidR="003A5C21" w:rsidRDefault="003A5C21" w:rsidP="007D6EA6">
      <w:r>
        <w:continuationSeparator/>
      </w:r>
    </w:p>
  </w:footnote>
  <w:footnote w:id="1">
    <w:p w14:paraId="16DE3714" w14:textId="77777777" w:rsidR="007824BF" w:rsidRPr="001E5679" w:rsidRDefault="007824BF">
      <w:pPr>
        <w:pStyle w:val="FootnoteText"/>
        <w:rPr>
          <w:sz w:val="16"/>
          <w:szCs w:val="16"/>
          <w:lang w:val="en-ZA"/>
        </w:rPr>
      </w:pPr>
      <w:r>
        <w:rPr>
          <w:rStyle w:val="FootnoteReference"/>
        </w:rPr>
        <w:footnoteRef/>
      </w:r>
      <w:r>
        <w:t xml:space="preserve"> </w:t>
      </w:r>
      <w:r w:rsidRPr="001E5679">
        <w:rPr>
          <w:rFonts w:asciiTheme="minorHAnsi" w:hAnsiTheme="minorHAnsi"/>
          <w:sz w:val="16"/>
          <w:szCs w:val="16"/>
        </w:rPr>
        <w:t>Act No 71 of 2008 (as amended)</w:t>
      </w:r>
    </w:p>
  </w:footnote>
  <w:footnote w:id="2">
    <w:p w14:paraId="16DE3715" w14:textId="77777777" w:rsidR="007D6EA6" w:rsidRPr="00F61BEB" w:rsidRDefault="007D6EA6">
      <w:pPr>
        <w:pStyle w:val="FootnoteText"/>
        <w:rPr>
          <w:rFonts w:asciiTheme="minorHAnsi" w:hAnsiTheme="minorHAnsi"/>
          <w:sz w:val="16"/>
          <w:szCs w:val="16"/>
          <w:lang w:val="en-GB"/>
        </w:rPr>
      </w:pPr>
      <w:r w:rsidRPr="00F61BEB">
        <w:rPr>
          <w:rStyle w:val="FootnoteReference"/>
          <w:rFonts w:asciiTheme="minorHAnsi" w:hAnsiTheme="minorHAnsi"/>
          <w:sz w:val="16"/>
          <w:szCs w:val="16"/>
        </w:rPr>
        <w:footnoteRef/>
      </w:r>
      <w:r w:rsidRPr="00F61BEB">
        <w:rPr>
          <w:rFonts w:asciiTheme="minorHAnsi" w:hAnsiTheme="minorHAnsi"/>
          <w:sz w:val="16"/>
          <w:szCs w:val="16"/>
        </w:rPr>
        <w:t xml:space="preserve"> </w:t>
      </w:r>
      <w:r w:rsidRPr="00F61BEB">
        <w:rPr>
          <w:rFonts w:asciiTheme="minorHAnsi" w:hAnsiTheme="minorHAnsi"/>
          <w:sz w:val="16"/>
          <w:szCs w:val="16"/>
          <w:lang w:val="en-GB"/>
        </w:rPr>
        <w:t>See section 77 of the Companies Act 71 of 2008.</w:t>
      </w:r>
    </w:p>
  </w:footnote>
  <w:footnote w:id="3">
    <w:p w14:paraId="16DE3716" w14:textId="77777777" w:rsidR="000E4DC7" w:rsidRPr="00F61BEB" w:rsidRDefault="000E4DC7">
      <w:pPr>
        <w:pStyle w:val="FootnoteText"/>
        <w:rPr>
          <w:rFonts w:asciiTheme="minorHAnsi" w:hAnsiTheme="minorHAnsi"/>
          <w:sz w:val="16"/>
          <w:szCs w:val="16"/>
          <w:lang w:val="en-GB"/>
        </w:rPr>
      </w:pPr>
      <w:r w:rsidRPr="00F61BEB">
        <w:rPr>
          <w:rStyle w:val="FootnoteReference"/>
          <w:rFonts w:asciiTheme="minorHAnsi" w:hAnsiTheme="minorHAnsi"/>
          <w:sz w:val="16"/>
          <w:szCs w:val="16"/>
        </w:rPr>
        <w:footnoteRef/>
      </w:r>
      <w:r w:rsidRPr="00F61BEB">
        <w:rPr>
          <w:rFonts w:asciiTheme="minorHAnsi" w:hAnsiTheme="minorHAnsi"/>
          <w:sz w:val="16"/>
          <w:szCs w:val="16"/>
        </w:rPr>
        <w:t xml:space="preserve"> </w:t>
      </w:r>
      <w:proofErr w:type="spellStart"/>
      <w:r w:rsidRPr="00F61BEB">
        <w:rPr>
          <w:rFonts w:asciiTheme="minorHAnsi" w:hAnsiTheme="minorHAnsi"/>
          <w:sz w:val="16"/>
          <w:szCs w:val="16"/>
          <w:lang w:val="en-GB"/>
        </w:rPr>
        <w:t>Cassim</w:t>
      </w:r>
      <w:proofErr w:type="spellEnd"/>
      <w:r w:rsidRPr="00F61BEB">
        <w:rPr>
          <w:rFonts w:asciiTheme="minorHAnsi" w:hAnsiTheme="minorHAnsi"/>
          <w:sz w:val="16"/>
          <w:szCs w:val="16"/>
          <w:lang w:val="en-GB"/>
        </w:rPr>
        <w:t xml:space="preserve"> et al 2012: 819</w:t>
      </w:r>
    </w:p>
  </w:footnote>
  <w:footnote w:id="4">
    <w:p w14:paraId="16DE3717" w14:textId="77777777" w:rsidR="000E4DC7" w:rsidRPr="00F61BEB" w:rsidRDefault="000E4DC7">
      <w:pPr>
        <w:pStyle w:val="FootnoteText"/>
        <w:rPr>
          <w:rFonts w:asciiTheme="minorHAnsi" w:hAnsiTheme="minorHAnsi"/>
          <w:sz w:val="16"/>
          <w:szCs w:val="16"/>
          <w:lang w:val="en-GB"/>
        </w:rPr>
      </w:pPr>
      <w:r w:rsidRPr="00F61BEB">
        <w:rPr>
          <w:rStyle w:val="FootnoteReference"/>
          <w:rFonts w:asciiTheme="minorHAnsi" w:hAnsiTheme="minorHAnsi"/>
          <w:sz w:val="16"/>
          <w:szCs w:val="16"/>
        </w:rPr>
        <w:footnoteRef/>
      </w:r>
      <w:r w:rsidRPr="00F61BEB">
        <w:rPr>
          <w:rFonts w:asciiTheme="minorHAnsi" w:hAnsiTheme="minorHAnsi"/>
          <w:sz w:val="16"/>
          <w:szCs w:val="16"/>
        </w:rPr>
        <w:t xml:space="preserve"> </w:t>
      </w:r>
      <w:proofErr w:type="spellStart"/>
      <w:r w:rsidRPr="00F61BEB">
        <w:rPr>
          <w:rFonts w:asciiTheme="minorHAnsi" w:hAnsiTheme="minorHAnsi"/>
          <w:sz w:val="16"/>
          <w:szCs w:val="16"/>
          <w:lang w:val="en-GB"/>
        </w:rPr>
        <w:t>Cassim</w:t>
      </w:r>
      <w:proofErr w:type="spellEnd"/>
      <w:r w:rsidRPr="00F61BEB">
        <w:rPr>
          <w:rFonts w:asciiTheme="minorHAnsi" w:hAnsiTheme="minorHAnsi"/>
          <w:sz w:val="16"/>
          <w:szCs w:val="16"/>
          <w:lang w:val="en-GB"/>
        </w:rPr>
        <w:t xml:space="preserve"> et al 2012: 819</w:t>
      </w:r>
    </w:p>
  </w:footnote>
  <w:footnote w:id="5">
    <w:p w14:paraId="16DE3718" w14:textId="77777777" w:rsidR="000E4DC7" w:rsidRPr="00F61BEB" w:rsidRDefault="000E4DC7">
      <w:pPr>
        <w:pStyle w:val="FootnoteText"/>
        <w:rPr>
          <w:rFonts w:asciiTheme="minorHAnsi" w:hAnsiTheme="minorHAnsi"/>
          <w:sz w:val="16"/>
          <w:szCs w:val="16"/>
          <w:lang w:val="en-GB"/>
        </w:rPr>
      </w:pPr>
      <w:r w:rsidRPr="00F61BEB">
        <w:rPr>
          <w:rStyle w:val="FootnoteReference"/>
          <w:rFonts w:asciiTheme="minorHAnsi" w:hAnsiTheme="minorHAnsi"/>
          <w:sz w:val="16"/>
          <w:szCs w:val="16"/>
        </w:rPr>
        <w:footnoteRef/>
      </w:r>
      <w:r w:rsidRPr="00F61BEB">
        <w:rPr>
          <w:rFonts w:asciiTheme="minorHAnsi" w:hAnsiTheme="minorHAnsi"/>
          <w:sz w:val="16"/>
          <w:szCs w:val="16"/>
        </w:rPr>
        <w:t xml:space="preserve"> </w:t>
      </w:r>
      <w:r w:rsidRPr="00F61BEB">
        <w:rPr>
          <w:rFonts w:asciiTheme="minorHAnsi" w:hAnsiTheme="minorHAnsi"/>
          <w:sz w:val="16"/>
          <w:szCs w:val="16"/>
          <w:lang w:val="en-GB"/>
        </w:rPr>
        <w:t>Sec 163 of Act 71 of 2008 as amended.</w:t>
      </w:r>
    </w:p>
  </w:footnote>
  <w:footnote w:id="6">
    <w:p w14:paraId="16DE3719" w14:textId="77777777" w:rsidR="000E4DC7" w:rsidRPr="00F61BEB" w:rsidRDefault="000E4DC7">
      <w:pPr>
        <w:pStyle w:val="FootnoteText"/>
        <w:rPr>
          <w:rFonts w:asciiTheme="minorHAnsi" w:hAnsiTheme="minorHAnsi"/>
          <w:sz w:val="16"/>
          <w:szCs w:val="16"/>
          <w:lang w:val="en-GB"/>
        </w:rPr>
      </w:pPr>
      <w:r w:rsidRPr="00F61BEB">
        <w:rPr>
          <w:rStyle w:val="FootnoteReference"/>
          <w:rFonts w:asciiTheme="minorHAnsi" w:hAnsiTheme="minorHAnsi"/>
          <w:sz w:val="16"/>
          <w:szCs w:val="16"/>
        </w:rPr>
        <w:footnoteRef/>
      </w:r>
      <w:r w:rsidRPr="00F61BEB">
        <w:rPr>
          <w:rFonts w:asciiTheme="minorHAnsi" w:hAnsiTheme="minorHAnsi"/>
          <w:sz w:val="16"/>
          <w:szCs w:val="16"/>
        </w:rPr>
        <w:t xml:space="preserve"> </w:t>
      </w:r>
      <w:proofErr w:type="spellStart"/>
      <w:r w:rsidRPr="00F61BEB">
        <w:rPr>
          <w:rFonts w:asciiTheme="minorHAnsi" w:hAnsiTheme="minorHAnsi"/>
          <w:sz w:val="16"/>
          <w:szCs w:val="16"/>
          <w:lang w:val="en-GB"/>
        </w:rPr>
        <w:t>Cassim</w:t>
      </w:r>
      <w:proofErr w:type="spellEnd"/>
      <w:r w:rsidRPr="00F61BEB">
        <w:rPr>
          <w:rFonts w:asciiTheme="minorHAnsi" w:hAnsiTheme="minorHAnsi"/>
          <w:sz w:val="16"/>
          <w:szCs w:val="16"/>
          <w:lang w:val="en-GB"/>
        </w:rPr>
        <w:t xml:space="preserve"> et al 2012: 760.</w:t>
      </w:r>
    </w:p>
  </w:footnote>
  <w:footnote w:id="7">
    <w:p w14:paraId="16DE371A" w14:textId="77777777" w:rsidR="000E4DC7" w:rsidRPr="00F61BEB" w:rsidRDefault="000E4DC7">
      <w:pPr>
        <w:pStyle w:val="FootnoteText"/>
        <w:rPr>
          <w:rFonts w:asciiTheme="minorHAnsi" w:hAnsiTheme="minorHAnsi"/>
          <w:sz w:val="16"/>
          <w:szCs w:val="16"/>
          <w:lang w:val="en-GB"/>
        </w:rPr>
      </w:pPr>
      <w:r w:rsidRPr="00F61BEB">
        <w:rPr>
          <w:rStyle w:val="FootnoteReference"/>
          <w:rFonts w:asciiTheme="minorHAnsi" w:hAnsiTheme="minorHAnsi"/>
          <w:sz w:val="16"/>
          <w:szCs w:val="16"/>
        </w:rPr>
        <w:footnoteRef/>
      </w:r>
      <w:r w:rsidRPr="00F61BEB">
        <w:rPr>
          <w:rFonts w:asciiTheme="minorHAnsi" w:hAnsiTheme="minorHAnsi"/>
          <w:sz w:val="16"/>
          <w:szCs w:val="16"/>
        </w:rPr>
        <w:t xml:space="preserve"> </w:t>
      </w:r>
      <w:proofErr w:type="spellStart"/>
      <w:r w:rsidRPr="00F61BEB">
        <w:rPr>
          <w:rFonts w:asciiTheme="minorHAnsi" w:hAnsiTheme="minorHAnsi"/>
          <w:sz w:val="16"/>
          <w:szCs w:val="16"/>
          <w:lang w:val="en-GB"/>
        </w:rPr>
        <w:t>Cassim</w:t>
      </w:r>
      <w:proofErr w:type="spellEnd"/>
      <w:r w:rsidRPr="00F61BEB">
        <w:rPr>
          <w:rFonts w:asciiTheme="minorHAnsi" w:hAnsiTheme="minorHAnsi"/>
          <w:sz w:val="16"/>
          <w:szCs w:val="16"/>
          <w:lang w:val="en-GB"/>
        </w:rPr>
        <w:t xml:space="preserve"> et al 2012: 758 and 760.</w:t>
      </w:r>
    </w:p>
  </w:footnote>
  <w:footnote w:id="8">
    <w:p w14:paraId="16DE371B" w14:textId="77777777" w:rsidR="000E4DC7" w:rsidRPr="00F61BEB" w:rsidRDefault="000E4DC7">
      <w:pPr>
        <w:pStyle w:val="FootnoteText"/>
        <w:rPr>
          <w:rFonts w:asciiTheme="minorHAnsi" w:hAnsiTheme="minorHAnsi"/>
          <w:sz w:val="16"/>
          <w:szCs w:val="16"/>
          <w:lang w:val="en-GB"/>
        </w:rPr>
      </w:pPr>
      <w:r w:rsidRPr="00F61BEB">
        <w:rPr>
          <w:rStyle w:val="FootnoteReference"/>
          <w:rFonts w:asciiTheme="minorHAnsi" w:hAnsiTheme="minorHAnsi"/>
          <w:sz w:val="16"/>
          <w:szCs w:val="16"/>
        </w:rPr>
        <w:footnoteRef/>
      </w:r>
      <w:r w:rsidRPr="00F61BEB">
        <w:rPr>
          <w:rFonts w:asciiTheme="minorHAnsi" w:hAnsiTheme="minorHAnsi"/>
          <w:sz w:val="16"/>
          <w:szCs w:val="16"/>
        </w:rPr>
        <w:t xml:space="preserve"> </w:t>
      </w:r>
      <w:proofErr w:type="spellStart"/>
      <w:r w:rsidRPr="00F61BEB">
        <w:rPr>
          <w:rFonts w:asciiTheme="minorHAnsi" w:hAnsiTheme="minorHAnsi"/>
          <w:sz w:val="16"/>
          <w:szCs w:val="16"/>
          <w:lang w:val="en-GB"/>
        </w:rPr>
        <w:t>Cassim</w:t>
      </w:r>
      <w:proofErr w:type="spellEnd"/>
      <w:r w:rsidRPr="00F61BEB">
        <w:rPr>
          <w:rFonts w:asciiTheme="minorHAnsi" w:hAnsiTheme="minorHAnsi"/>
          <w:sz w:val="16"/>
          <w:szCs w:val="16"/>
          <w:lang w:val="en-GB"/>
        </w:rPr>
        <w:t xml:space="preserve"> et al 2012: 770.</w:t>
      </w:r>
    </w:p>
  </w:footnote>
  <w:footnote w:id="9">
    <w:p w14:paraId="16DE371C" w14:textId="77777777" w:rsidR="000E4DC7" w:rsidRPr="00F61BEB" w:rsidRDefault="000E4DC7">
      <w:pPr>
        <w:pStyle w:val="FootnoteText"/>
        <w:rPr>
          <w:rFonts w:asciiTheme="minorHAnsi" w:hAnsiTheme="minorHAnsi"/>
          <w:sz w:val="16"/>
          <w:szCs w:val="16"/>
          <w:lang w:val="en-GB"/>
        </w:rPr>
      </w:pPr>
      <w:r w:rsidRPr="00F61BEB">
        <w:rPr>
          <w:rStyle w:val="FootnoteReference"/>
          <w:rFonts w:asciiTheme="minorHAnsi" w:hAnsiTheme="minorHAnsi"/>
          <w:sz w:val="16"/>
          <w:szCs w:val="16"/>
        </w:rPr>
        <w:footnoteRef/>
      </w:r>
      <w:r w:rsidRPr="00F61BEB">
        <w:rPr>
          <w:rFonts w:asciiTheme="minorHAnsi" w:hAnsiTheme="minorHAnsi"/>
          <w:sz w:val="16"/>
          <w:szCs w:val="16"/>
        </w:rPr>
        <w:t xml:space="preserve"> </w:t>
      </w:r>
      <w:proofErr w:type="spellStart"/>
      <w:r w:rsidRPr="00F61BEB">
        <w:rPr>
          <w:rFonts w:asciiTheme="minorHAnsi" w:hAnsiTheme="minorHAnsi"/>
          <w:sz w:val="16"/>
          <w:szCs w:val="16"/>
          <w:lang w:val="en-GB"/>
        </w:rPr>
        <w:t>Cassim</w:t>
      </w:r>
      <w:proofErr w:type="spellEnd"/>
      <w:r w:rsidRPr="00F61BEB">
        <w:rPr>
          <w:rFonts w:asciiTheme="minorHAnsi" w:hAnsiTheme="minorHAnsi"/>
          <w:sz w:val="16"/>
          <w:szCs w:val="16"/>
          <w:lang w:val="en-GB"/>
        </w:rPr>
        <w:t xml:space="preserve"> et al 2012: 776.</w:t>
      </w:r>
    </w:p>
  </w:footnote>
  <w:footnote w:id="10">
    <w:p w14:paraId="16DE371D" w14:textId="77777777" w:rsidR="000E4DC7" w:rsidRPr="00F61BEB" w:rsidRDefault="000E4DC7" w:rsidP="00F61BEB">
      <w:pPr>
        <w:rPr>
          <w:rFonts w:asciiTheme="minorHAnsi" w:hAnsiTheme="minorHAnsi"/>
          <w:sz w:val="16"/>
          <w:szCs w:val="16"/>
          <w:lang w:val="en-GB"/>
        </w:rPr>
      </w:pPr>
      <w:r w:rsidRPr="00F61BEB">
        <w:rPr>
          <w:rStyle w:val="FootnoteReference"/>
          <w:rFonts w:asciiTheme="minorHAnsi" w:hAnsiTheme="minorHAnsi"/>
          <w:sz w:val="16"/>
          <w:szCs w:val="16"/>
        </w:rPr>
        <w:footnoteRef/>
      </w:r>
      <w:r w:rsidRPr="00F61BEB">
        <w:rPr>
          <w:rFonts w:asciiTheme="minorHAnsi" w:hAnsiTheme="minorHAnsi"/>
          <w:sz w:val="16"/>
          <w:szCs w:val="16"/>
        </w:rPr>
        <w:t xml:space="preserve"> </w:t>
      </w:r>
      <w:r w:rsidR="00F61BEB" w:rsidRPr="00F61BEB">
        <w:rPr>
          <w:rFonts w:asciiTheme="minorHAnsi" w:hAnsiTheme="minorHAnsi"/>
          <w:sz w:val="16"/>
          <w:szCs w:val="16"/>
        </w:rPr>
        <w:t xml:space="preserve">Dwyer, </w:t>
      </w:r>
      <w:proofErr w:type="gramStart"/>
      <w:r w:rsidR="00F61BEB" w:rsidRPr="00F61BEB">
        <w:rPr>
          <w:rFonts w:asciiTheme="minorHAnsi" w:hAnsiTheme="minorHAnsi" w:cs="Arial"/>
          <w:sz w:val="16"/>
          <w:szCs w:val="16"/>
        </w:rPr>
        <w:t>Using</w:t>
      </w:r>
      <w:proofErr w:type="gramEnd"/>
      <w:r w:rsidR="00F61BEB" w:rsidRPr="00F61BEB">
        <w:rPr>
          <w:rFonts w:asciiTheme="minorHAnsi" w:hAnsiTheme="minorHAnsi" w:cs="Arial"/>
          <w:sz w:val="16"/>
          <w:szCs w:val="16"/>
        </w:rPr>
        <w:t xml:space="preserve"> the appraisal remedy and finding fair value, Without Prejudice June 2013.</w:t>
      </w:r>
    </w:p>
  </w:footnote>
  <w:footnote w:id="11">
    <w:p w14:paraId="16DE371E" w14:textId="77777777" w:rsidR="00F61BEB" w:rsidRPr="00F61BEB" w:rsidRDefault="00F61BEB">
      <w:pPr>
        <w:pStyle w:val="FootnoteText"/>
        <w:rPr>
          <w:lang w:val="en-GB"/>
        </w:rPr>
      </w:pPr>
      <w:r w:rsidRPr="00F61BEB">
        <w:rPr>
          <w:rStyle w:val="FootnoteReference"/>
          <w:rFonts w:asciiTheme="minorHAnsi" w:hAnsiTheme="minorHAnsi"/>
          <w:sz w:val="16"/>
          <w:szCs w:val="16"/>
        </w:rPr>
        <w:footnoteRef/>
      </w:r>
      <w:r w:rsidRPr="00F61BEB">
        <w:rPr>
          <w:rFonts w:asciiTheme="minorHAnsi" w:hAnsiTheme="minorHAnsi"/>
          <w:sz w:val="16"/>
          <w:szCs w:val="16"/>
        </w:rPr>
        <w:t xml:space="preserve"> Dwyer, </w:t>
      </w:r>
      <w:proofErr w:type="gramStart"/>
      <w:r w:rsidRPr="00F61BEB">
        <w:rPr>
          <w:rFonts w:asciiTheme="minorHAnsi" w:hAnsiTheme="minorHAnsi" w:cs="Arial"/>
          <w:sz w:val="16"/>
          <w:szCs w:val="16"/>
        </w:rPr>
        <w:t>Using</w:t>
      </w:r>
      <w:proofErr w:type="gramEnd"/>
      <w:r w:rsidRPr="00F61BEB">
        <w:rPr>
          <w:rFonts w:asciiTheme="minorHAnsi" w:hAnsiTheme="minorHAnsi" w:cs="Arial"/>
          <w:sz w:val="16"/>
          <w:szCs w:val="16"/>
        </w:rPr>
        <w:t xml:space="preserve"> the appraisal remedy and finding fair value, Without Prejudice June 2013.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C0A25"/>
    <w:multiLevelType w:val="hybridMultilevel"/>
    <w:tmpl w:val="E028247C"/>
    <w:lvl w:ilvl="0" w:tplc="3EB2A1AA">
      <w:numFmt w:val="bullet"/>
      <w:lvlText w:val="-"/>
      <w:lvlJc w:val="left"/>
      <w:pPr>
        <w:ind w:left="720" w:hanging="360"/>
      </w:pPr>
      <w:rPr>
        <w:rFonts w:ascii="Calibri" w:eastAsiaTheme="minorHAnsi" w:hAnsi="Calibri" w:cstheme="minorBidi"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
    <w:nsid w:val="2E33268F"/>
    <w:multiLevelType w:val="hybridMultilevel"/>
    <w:tmpl w:val="046AD74A"/>
    <w:lvl w:ilvl="0" w:tplc="08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5E953AE7"/>
    <w:multiLevelType w:val="hybridMultilevel"/>
    <w:tmpl w:val="FA44AF42"/>
    <w:lvl w:ilvl="0" w:tplc="3EB2A1AA">
      <w:numFmt w:val="bullet"/>
      <w:lvlText w:val="-"/>
      <w:lvlJc w:val="left"/>
      <w:pPr>
        <w:ind w:left="720" w:hanging="360"/>
      </w:pPr>
      <w:rPr>
        <w:rFonts w:ascii="Calibri" w:eastAsiaTheme="minorHAnsi" w:hAnsi="Calibri" w:cstheme="minorBidi"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4DD"/>
    <w:rsid w:val="000E4DC7"/>
    <w:rsid w:val="001620AA"/>
    <w:rsid w:val="00175A3E"/>
    <w:rsid w:val="001E5679"/>
    <w:rsid w:val="002050E6"/>
    <w:rsid w:val="00266A49"/>
    <w:rsid w:val="002823EA"/>
    <w:rsid w:val="002B1E07"/>
    <w:rsid w:val="003A5C21"/>
    <w:rsid w:val="003C3BF5"/>
    <w:rsid w:val="004244DD"/>
    <w:rsid w:val="004D44D0"/>
    <w:rsid w:val="005718E1"/>
    <w:rsid w:val="00581FAC"/>
    <w:rsid w:val="007824BF"/>
    <w:rsid w:val="007A3ACE"/>
    <w:rsid w:val="007C3417"/>
    <w:rsid w:val="007D6EA6"/>
    <w:rsid w:val="008248ED"/>
    <w:rsid w:val="00881EDF"/>
    <w:rsid w:val="00955D83"/>
    <w:rsid w:val="00A00AA7"/>
    <w:rsid w:val="00A46056"/>
    <w:rsid w:val="00AB36AB"/>
    <w:rsid w:val="00E90192"/>
    <w:rsid w:val="00F1394D"/>
    <w:rsid w:val="00F61BEB"/>
    <w:rsid w:val="00FA57AF"/>
    <w:rsid w:val="00FE1BF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E3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4DD"/>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4DD"/>
    <w:pPr>
      <w:spacing w:after="160" w:line="256" w:lineRule="auto"/>
      <w:ind w:left="720"/>
      <w:contextualSpacing/>
    </w:pPr>
    <w:rPr>
      <w:rFonts w:ascii="Calibri" w:eastAsia="Calibri" w:hAnsi="Calibri"/>
      <w:sz w:val="22"/>
      <w:szCs w:val="22"/>
      <w:lang w:val="en-ZA"/>
    </w:rPr>
  </w:style>
  <w:style w:type="paragraph" w:styleId="FootnoteText">
    <w:name w:val="footnote text"/>
    <w:basedOn w:val="Normal"/>
    <w:link w:val="FootnoteTextChar"/>
    <w:uiPriority w:val="99"/>
    <w:semiHidden/>
    <w:unhideWhenUsed/>
    <w:rsid w:val="007D6EA6"/>
    <w:rPr>
      <w:sz w:val="20"/>
      <w:szCs w:val="20"/>
    </w:rPr>
  </w:style>
  <w:style w:type="character" w:customStyle="1" w:styleId="FootnoteTextChar">
    <w:name w:val="Footnote Text Char"/>
    <w:basedOn w:val="DefaultParagraphFont"/>
    <w:link w:val="FootnoteText"/>
    <w:uiPriority w:val="99"/>
    <w:semiHidden/>
    <w:rsid w:val="007D6EA6"/>
    <w:rPr>
      <w:rFonts w:ascii="Cambria" w:eastAsia="MS Mincho" w:hAnsi="Cambria" w:cs="Times New Roman"/>
      <w:sz w:val="20"/>
      <w:szCs w:val="20"/>
      <w:lang w:val="en-US"/>
    </w:rPr>
  </w:style>
  <w:style w:type="character" w:styleId="FootnoteReference">
    <w:name w:val="footnote reference"/>
    <w:basedOn w:val="DefaultParagraphFont"/>
    <w:uiPriority w:val="99"/>
    <w:semiHidden/>
    <w:unhideWhenUsed/>
    <w:rsid w:val="007D6EA6"/>
    <w:rPr>
      <w:vertAlign w:val="superscript"/>
    </w:rPr>
  </w:style>
  <w:style w:type="paragraph" w:styleId="BalloonText">
    <w:name w:val="Balloon Text"/>
    <w:basedOn w:val="Normal"/>
    <w:link w:val="BalloonTextChar"/>
    <w:uiPriority w:val="99"/>
    <w:semiHidden/>
    <w:unhideWhenUsed/>
    <w:rsid w:val="001620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20AA"/>
    <w:rPr>
      <w:rFonts w:ascii="Segoe UI" w:eastAsia="MS Mincho" w:hAnsi="Segoe UI" w:cs="Segoe UI"/>
      <w:sz w:val="18"/>
      <w:szCs w:val="18"/>
      <w:lang w:val="en-US"/>
    </w:rPr>
  </w:style>
  <w:style w:type="paragraph" w:styleId="NormalWeb">
    <w:name w:val="Normal (Web)"/>
    <w:basedOn w:val="Normal"/>
    <w:uiPriority w:val="99"/>
    <w:rsid w:val="002050E6"/>
    <w:pPr>
      <w:spacing w:before="100" w:beforeAutospacing="1" w:after="100" w:afterAutospacing="1"/>
    </w:pPr>
    <w:rPr>
      <w:rFonts w:ascii="Times New Roman" w:eastAsia="Times New Roman" w:hAnsi="Times New Roman"/>
      <w:lang w:val="en-GB" w:eastAsia="en-GB"/>
    </w:rPr>
  </w:style>
  <w:style w:type="character" w:styleId="Hyperlink">
    <w:name w:val="Hyperlink"/>
    <w:uiPriority w:val="99"/>
    <w:semiHidden/>
    <w:unhideWhenUsed/>
    <w:rsid w:val="002050E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4DD"/>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4DD"/>
    <w:pPr>
      <w:spacing w:after="160" w:line="256" w:lineRule="auto"/>
      <w:ind w:left="720"/>
      <w:contextualSpacing/>
    </w:pPr>
    <w:rPr>
      <w:rFonts w:ascii="Calibri" w:eastAsia="Calibri" w:hAnsi="Calibri"/>
      <w:sz w:val="22"/>
      <w:szCs w:val="22"/>
      <w:lang w:val="en-ZA"/>
    </w:rPr>
  </w:style>
  <w:style w:type="paragraph" w:styleId="FootnoteText">
    <w:name w:val="footnote text"/>
    <w:basedOn w:val="Normal"/>
    <w:link w:val="FootnoteTextChar"/>
    <w:uiPriority w:val="99"/>
    <w:semiHidden/>
    <w:unhideWhenUsed/>
    <w:rsid w:val="007D6EA6"/>
    <w:rPr>
      <w:sz w:val="20"/>
      <w:szCs w:val="20"/>
    </w:rPr>
  </w:style>
  <w:style w:type="character" w:customStyle="1" w:styleId="FootnoteTextChar">
    <w:name w:val="Footnote Text Char"/>
    <w:basedOn w:val="DefaultParagraphFont"/>
    <w:link w:val="FootnoteText"/>
    <w:uiPriority w:val="99"/>
    <w:semiHidden/>
    <w:rsid w:val="007D6EA6"/>
    <w:rPr>
      <w:rFonts w:ascii="Cambria" w:eastAsia="MS Mincho" w:hAnsi="Cambria" w:cs="Times New Roman"/>
      <w:sz w:val="20"/>
      <w:szCs w:val="20"/>
      <w:lang w:val="en-US"/>
    </w:rPr>
  </w:style>
  <w:style w:type="character" w:styleId="FootnoteReference">
    <w:name w:val="footnote reference"/>
    <w:basedOn w:val="DefaultParagraphFont"/>
    <w:uiPriority w:val="99"/>
    <w:semiHidden/>
    <w:unhideWhenUsed/>
    <w:rsid w:val="007D6EA6"/>
    <w:rPr>
      <w:vertAlign w:val="superscript"/>
    </w:rPr>
  </w:style>
  <w:style w:type="paragraph" w:styleId="BalloonText">
    <w:name w:val="Balloon Text"/>
    <w:basedOn w:val="Normal"/>
    <w:link w:val="BalloonTextChar"/>
    <w:uiPriority w:val="99"/>
    <w:semiHidden/>
    <w:unhideWhenUsed/>
    <w:rsid w:val="001620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20AA"/>
    <w:rPr>
      <w:rFonts w:ascii="Segoe UI" w:eastAsia="MS Mincho" w:hAnsi="Segoe UI" w:cs="Segoe UI"/>
      <w:sz w:val="18"/>
      <w:szCs w:val="18"/>
      <w:lang w:val="en-US"/>
    </w:rPr>
  </w:style>
  <w:style w:type="paragraph" w:styleId="NormalWeb">
    <w:name w:val="Normal (Web)"/>
    <w:basedOn w:val="Normal"/>
    <w:uiPriority w:val="99"/>
    <w:rsid w:val="002050E6"/>
    <w:pPr>
      <w:spacing w:before="100" w:beforeAutospacing="1" w:after="100" w:afterAutospacing="1"/>
    </w:pPr>
    <w:rPr>
      <w:rFonts w:ascii="Times New Roman" w:eastAsia="Times New Roman" w:hAnsi="Times New Roman"/>
      <w:lang w:val="en-GB" w:eastAsia="en-GB"/>
    </w:rPr>
  </w:style>
  <w:style w:type="character" w:styleId="Hyperlink">
    <w:name w:val="Hyperlink"/>
    <w:uiPriority w:val="99"/>
    <w:semiHidden/>
    <w:unhideWhenUsed/>
    <w:rsid w:val="002050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choemanlaw.co.za/"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enquiries@schoemanlaw.co.z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twitter.com/NicoleneS_Att"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facebook.com/pages/Schoeman-Attorneys-Cape-Town/1250073175318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9DAD54C583404298833377931B3284" ma:contentTypeVersion="0" ma:contentTypeDescription="Create a new document." ma:contentTypeScope="" ma:versionID="b2a159f7d82847b87ce35c452f2fa032">
  <xsd:schema xmlns:xsd="http://www.w3.org/2001/XMLSchema" xmlns:xs="http://www.w3.org/2001/XMLSchema" xmlns:p="http://schemas.microsoft.com/office/2006/metadata/properties" targetNamespace="http://schemas.microsoft.com/office/2006/metadata/properties" ma:root="true" ma:fieldsID="61a5510ac1a642cc309ccb7be38155f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9FBA6-A220-4688-B80B-72F6406404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FAF8A9-FA2D-42C3-8A56-D1F2BA2A61E9}">
  <ds:schemaRefs>
    <ds:schemaRef ds:uri="http://schemas.microsoft.com/sharepoint/v3/contenttype/forms"/>
  </ds:schemaRefs>
</ds:datastoreItem>
</file>

<file path=customXml/itemProps3.xml><?xml version="1.0" encoding="utf-8"?>
<ds:datastoreItem xmlns:ds="http://schemas.openxmlformats.org/officeDocument/2006/customXml" ds:itemID="{17E3CC5D-6638-4501-A41A-E1CD8AA59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04B917C-3DAE-4FF1-A6FD-F377F15E9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1153</Words>
  <Characters>6574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Nicolene Schoeman | Schoeman Attorneys</dc:creator>
  <cp:keywords/>
  <dc:description/>
  <cp:lastModifiedBy>frganzo</cp:lastModifiedBy>
  <cp:revision>2</cp:revision>
  <dcterms:created xsi:type="dcterms:W3CDTF">2013-09-04T14:34:00Z</dcterms:created>
  <dcterms:modified xsi:type="dcterms:W3CDTF">2013-09-04T14:34:00Z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0x010100EC9DAD54C583404298833377931B3284</vt:lpwstr>
  </property>
</Properties>
</file>